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26CE" w14:textId="1D4250A6" w:rsidR="0029102E" w:rsidRPr="0029102E" w:rsidRDefault="00E70E45" w:rsidP="0029102E">
      <w:pPr>
        <w:spacing w:after="0" w:line="240" w:lineRule="auto"/>
        <w:rPr>
          <w:rFonts w:ascii="Open Sans" w:hAnsi="Open Sans" w:cs="Open Sans"/>
          <w:sz w:val="22"/>
        </w:rPr>
      </w:pPr>
      <w:r>
        <w:rPr>
          <w:rFonts w:ascii="Open Sans" w:hAnsi="Open Sans" w:cs="Open Sans"/>
          <w:sz w:val="22"/>
        </w:rPr>
        <w:t>February</w:t>
      </w:r>
      <w:r w:rsidR="0029102E" w:rsidRPr="0029102E">
        <w:rPr>
          <w:rFonts w:ascii="Open Sans" w:hAnsi="Open Sans" w:cs="Open Sans"/>
          <w:sz w:val="22"/>
        </w:rPr>
        <w:t xml:space="preserve"> </w:t>
      </w:r>
      <w:r w:rsidR="00CA1AFE">
        <w:rPr>
          <w:rFonts w:ascii="Open Sans" w:hAnsi="Open Sans" w:cs="Open Sans"/>
          <w:sz w:val="22"/>
        </w:rPr>
        <w:t>11</w:t>
      </w:r>
      <w:r w:rsidR="0029102E" w:rsidRPr="0029102E">
        <w:rPr>
          <w:rFonts w:ascii="Open Sans" w:hAnsi="Open Sans" w:cs="Open Sans"/>
          <w:sz w:val="22"/>
        </w:rPr>
        <w:t>, 20</w:t>
      </w:r>
      <w:r w:rsidR="0029102E">
        <w:rPr>
          <w:rFonts w:ascii="Open Sans" w:hAnsi="Open Sans" w:cs="Open Sans"/>
          <w:sz w:val="22"/>
        </w:rPr>
        <w:t>2</w:t>
      </w:r>
      <w:r>
        <w:rPr>
          <w:rFonts w:ascii="Open Sans" w:hAnsi="Open Sans" w:cs="Open Sans"/>
          <w:sz w:val="22"/>
        </w:rPr>
        <w:t>2</w:t>
      </w:r>
    </w:p>
    <w:p w14:paraId="2D7E67CE" w14:textId="77777777" w:rsidR="0029102E" w:rsidRPr="0052626C" w:rsidRDefault="0029102E" w:rsidP="0029102E">
      <w:pPr>
        <w:spacing w:after="0" w:line="240" w:lineRule="auto"/>
        <w:jc w:val="center"/>
        <w:rPr>
          <w:rFonts w:asciiTheme="majorHAnsi" w:hAnsiTheme="majorHAnsi" w:cstheme="majorHAnsi"/>
          <w:b/>
          <w:szCs w:val="20"/>
        </w:rPr>
      </w:pPr>
    </w:p>
    <w:p w14:paraId="1A500E0C" w14:textId="77777777" w:rsidR="003504CE" w:rsidRDefault="003504CE" w:rsidP="0029102E">
      <w:pPr>
        <w:spacing w:after="0" w:line="240" w:lineRule="auto"/>
        <w:jc w:val="center"/>
        <w:rPr>
          <w:rFonts w:ascii="Open Sans" w:hAnsi="Open Sans" w:cs="Open Sans"/>
          <w:b/>
          <w:sz w:val="22"/>
        </w:rPr>
      </w:pPr>
    </w:p>
    <w:p w14:paraId="3A3D115B" w14:textId="57635F68" w:rsidR="0029102E" w:rsidRPr="00771430" w:rsidRDefault="0029102E" w:rsidP="0029102E">
      <w:pPr>
        <w:spacing w:after="0" w:line="240" w:lineRule="auto"/>
        <w:jc w:val="center"/>
        <w:rPr>
          <w:rFonts w:ascii="Open Sans" w:hAnsi="Open Sans" w:cs="Open Sans"/>
          <w:b/>
          <w:sz w:val="22"/>
        </w:rPr>
      </w:pPr>
      <w:r w:rsidRPr="00771430">
        <w:rPr>
          <w:rFonts w:ascii="Open Sans" w:hAnsi="Open Sans" w:cs="Open Sans"/>
          <w:b/>
          <w:sz w:val="22"/>
        </w:rPr>
        <w:t>FOR IMMEDIATE RELEASE</w:t>
      </w:r>
    </w:p>
    <w:p w14:paraId="53CF9751" w14:textId="77777777" w:rsidR="0029102E" w:rsidRPr="0052626C" w:rsidRDefault="0029102E" w:rsidP="0029102E">
      <w:pPr>
        <w:spacing w:after="0" w:line="240" w:lineRule="auto"/>
        <w:jc w:val="center"/>
        <w:rPr>
          <w:rFonts w:asciiTheme="majorHAnsi" w:hAnsiTheme="majorHAnsi" w:cstheme="majorHAnsi"/>
          <w:b/>
        </w:rPr>
      </w:pPr>
    </w:p>
    <w:p w14:paraId="5DECCE4C" w14:textId="4F5C37CC" w:rsidR="0029102E" w:rsidRPr="00771430" w:rsidRDefault="0029102E" w:rsidP="0029102E">
      <w:pPr>
        <w:spacing w:after="0" w:line="240" w:lineRule="auto"/>
        <w:jc w:val="center"/>
        <w:rPr>
          <w:rFonts w:ascii="Open Sans" w:hAnsi="Open Sans" w:cs="Open Sans"/>
          <w:sz w:val="28"/>
          <w:szCs w:val="28"/>
        </w:rPr>
      </w:pPr>
      <w:r w:rsidRPr="00771430">
        <w:rPr>
          <w:rFonts w:ascii="Open Sans" w:hAnsi="Open Sans" w:cs="Open Sans"/>
          <w:b/>
          <w:sz w:val="28"/>
          <w:szCs w:val="28"/>
        </w:rPr>
        <w:t xml:space="preserve">Somers Limited reports </w:t>
      </w:r>
      <w:r w:rsidR="00753AEA">
        <w:rPr>
          <w:rFonts w:ascii="Open Sans" w:hAnsi="Open Sans" w:cs="Open Sans"/>
          <w:b/>
          <w:sz w:val="28"/>
          <w:szCs w:val="28"/>
        </w:rPr>
        <w:t>first quarter results</w:t>
      </w:r>
      <w:r w:rsidRPr="00771430">
        <w:rPr>
          <w:rFonts w:ascii="Open Sans" w:hAnsi="Open Sans" w:cs="Open Sans"/>
          <w:b/>
          <w:sz w:val="28"/>
          <w:szCs w:val="28"/>
        </w:rPr>
        <w:t xml:space="preserve"> </w:t>
      </w:r>
    </w:p>
    <w:p w14:paraId="60B32B93" w14:textId="77777777" w:rsidR="0029102E" w:rsidRPr="00EE2110" w:rsidRDefault="0029102E" w:rsidP="0029102E">
      <w:pPr>
        <w:spacing w:after="0" w:line="240" w:lineRule="auto"/>
        <w:rPr>
          <w:rFonts w:asciiTheme="majorHAnsi" w:hAnsiTheme="majorHAnsi" w:cstheme="majorHAnsi"/>
          <w:szCs w:val="20"/>
        </w:rPr>
      </w:pPr>
    </w:p>
    <w:p w14:paraId="549B8ACE" w14:textId="5621D20E" w:rsidR="0029102E" w:rsidRDefault="0029102E" w:rsidP="0029102E">
      <w:pPr>
        <w:spacing w:after="0" w:line="240" w:lineRule="auto"/>
        <w:jc w:val="both"/>
        <w:rPr>
          <w:rFonts w:ascii="Open Sans" w:hAnsi="Open Sans" w:cs="Open Sans"/>
          <w:sz w:val="22"/>
        </w:rPr>
      </w:pPr>
      <w:r w:rsidRPr="00771430">
        <w:rPr>
          <w:rFonts w:ascii="Open Sans" w:hAnsi="Open Sans" w:cs="Open Sans"/>
          <w:sz w:val="22"/>
        </w:rPr>
        <w:t>Somers Limited</w:t>
      </w:r>
      <w:r>
        <w:rPr>
          <w:rFonts w:ascii="Open Sans" w:hAnsi="Open Sans" w:cs="Open Sans"/>
          <w:sz w:val="22"/>
        </w:rPr>
        <w:t xml:space="preserve"> (“Somers” or “the Company”, BSX</w:t>
      </w:r>
      <w:r w:rsidRPr="00490867">
        <w:rPr>
          <w:rFonts w:ascii="Open Sans" w:hAnsi="Open Sans" w:cs="Open Sans"/>
          <w:sz w:val="22"/>
        </w:rPr>
        <w:t>: SOM.BH</w:t>
      </w:r>
      <w:r>
        <w:rPr>
          <w:rFonts w:ascii="Open Sans" w:hAnsi="Open Sans" w:cs="Open Sans"/>
          <w:sz w:val="22"/>
        </w:rPr>
        <w:t>)</w:t>
      </w:r>
      <w:r w:rsidRPr="00771430">
        <w:rPr>
          <w:rFonts w:ascii="Open Sans" w:hAnsi="Open Sans" w:cs="Open Sans"/>
          <w:sz w:val="22"/>
        </w:rPr>
        <w:t xml:space="preserve">, a financial services investment holding company, </w:t>
      </w:r>
      <w:r w:rsidR="00753AEA">
        <w:rPr>
          <w:rFonts w:ascii="Open Sans" w:hAnsi="Open Sans" w:cs="Open Sans"/>
          <w:sz w:val="22"/>
        </w:rPr>
        <w:t xml:space="preserve">is pleased to report positive progress in its investment portfolio with </w:t>
      </w:r>
      <w:proofErr w:type="gramStart"/>
      <w:r w:rsidR="00753AEA">
        <w:rPr>
          <w:rFonts w:ascii="Open Sans" w:hAnsi="Open Sans" w:cs="Open Sans"/>
          <w:sz w:val="22"/>
        </w:rPr>
        <w:t>a number of</w:t>
      </w:r>
      <w:proofErr w:type="gramEnd"/>
      <w:r w:rsidR="00753AEA">
        <w:rPr>
          <w:rFonts w:ascii="Open Sans" w:hAnsi="Open Sans" w:cs="Open Sans"/>
          <w:sz w:val="22"/>
        </w:rPr>
        <w:t xml:space="preserve"> its larger investments continuing their strong progress although market volatility has had a negative impact on valuations. </w:t>
      </w:r>
      <w:r w:rsidR="00770E01">
        <w:rPr>
          <w:rFonts w:ascii="Open Sans" w:hAnsi="Open Sans" w:cs="Open Sans"/>
          <w:sz w:val="22"/>
        </w:rPr>
        <w:t>Net Asset Value (“</w:t>
      </w:r>
      <w:r w:rsidRPr="00771430">
        <w:rPr>
          <w:rFonts w:ascii="Open Sans" w:hAnsi="Open Sans" w:cs="Open Sans"/>
          <w:sz w:val="22"/>
        </w:rPr>
        <w:t>NAV</w:t>
      </w:r>
      <w:r w:rsidR="00770E01">
        <w:rPr>
          <w:rFonts w:ascii="Open Sans" w:hAnsi="Open Sans" w:cs="Open Sans"/>
          <w:sz w:val="22"/>
        </w:rPr>
        <w:t>”)</w:t>
      </w:r>
      <w:r w:rsidRPr="00771430">
        <w:rPr>
          <w:rFonts w:ascii="Open Sans" w:hAnsi="Open Sans" w:cs="Open Sans"/>
          <w:sz w:val="22"/>
        </w:rPr>
        <w:t xml:space="preserve"> per share </w:t>
      </w:r>
      <w:r w:rsidR="00E70E45">
        <w:rPr>
          <w:rFonts w:ascii="Open Sans" w:hAnsi="Open Sans" w:cs="Open Sans"/>
          <w:sz w:val="22"/>
        </w:rPr>
        <w:t>at the end of December was $</w:t>
      </w:r>
      <w:r w:rsidR="00E67E2D">
        <w:rPr>
          <w:rFonts w:ascii="Open Sans" w:hAnsi="Open Sans" w:cs="Open Sans"/>
          <w:sz w:val="22"/>
        </w:rPr>
        <w:t>26.32</w:t>
      </w:r>
      <w:r w:rsidR="00540727">
        <w:rPr>
          <w:rFonts w:ascii="Open Sans" w:hAnsi="Open Sans" w:cs="Open Sans"/>
          <w:sz w:val="22"/>
        </w:rPr>
        <w:t xml:space="preserve"> </w:t>
      </w:r>
      <w:r>
        <w:rPr>
          <w:rFonts w:ascii="Open Sans" w:hAnsi="Open Sans" w:cs="Open Sans"/>
          <w:sz w:val="22"/>
        </w:rPr>
        <w:t>and s</w:t>
      </w:r>
      <w:r w:rsidRPr="00771430">
        <w:rPr>
          <w:rFonts w:ascii="Open Sans" w:hAnsi="Open Sans" w:cs="Open Sans"/>
          <w:sz w:val="22"/>
        </w:rPr>
        <w:t xml:space="preserve">hareholders’ </w:t>
      </w:r>
      <w:r w:rsidR="00540727">
        <w:rPr>
          <w:rFonts w:ascii="Open Sans" w:hAnsi="Open Sans" w:cs="Open Sans"/>
          <w:sz w:val="22"/>
        </w:rPr>
        <w:t>e</w:t>
      </w:r>
      <w:r w:rsidRPr="00771430">
        <w:rPr>
          <w:rFonts w:ascii="Open Sans" w:hAnsi="Open Sans" w:cs="Open Sans"/>
          <w:sz w:val="22"/>
        </w:rPr>
        <w:t xml:space="preserve">quity </w:t>
      </w:r>
      <w:r w:rsidR="00E70E45">
        <w:rPr>
          <w:rFonts w:ascii="Open Sans" w:hAnsi="Open Sans" w:cs="Open Sans"/>
          <w:sz w:val="22"/>
        </w:rPr>
        <w:t>was</w:t>
      </w:r>
      <w:r w:rsidRPr="00771430">
        <w:rPr>
          <w:rFonts w:ascii="Open Sans" w:hAnsi="Open Sans" w:cs="Open Sans"/>
          <w:sz w:val="22"/>
        </w:rPr>
        <w:t xml:space="preserve"> $</w:t>
      </w:r>
      <w:r w:rsidR="00E67E2D">
        <w:rPr>
          <w:rFonts w:ascii="Open Sans" w:hAnsi="Open Sans" w:cs="Open Sans"/>
          <w:sz w:val="22"/>
        </w:rPr>
        <w:t>586.5</w:t>
      </w:r>
      <w:r w:rsidRPr="00771430">
        <w:rPr>
          <w:rFonts w:ascii="Open Sans" w:hAnsi="Open Sans" w:cs="Open Sans"/>
          <w:sz w:val="22"/>
        </w:rPr>
        <w:t xml:space="preserve"> million.</w:t>
      </w:r>
      <w:r w:rsidR="00140F77">
        <w:rPr>
          <w:rFonts w:ascii="Open Sans" w:hAnsi="Open Sans" w:cs="Open Sans"/>
          <w:sz w:val="22"/>
        </w:rPr>
        <w:t xml:space="preserve"> </w:t>
      </w:r>
    </w:p>
    <w:p w14:paraId="7C69501C" w14:textId="6F333961" w:rsidR="00193BF8" w:rsidRDefault="00193BF8" w:rsidP="0029102E">
      <w:pPr>
        <w:spacing w:after="0" w:line="240" w:lineRule="auto"/>
        <w:jc w:val="both"/>
        <w:rPr>
          <w:rFonts w:ascii="Open Sans" w:hAnsi="Open Sans" w:cs="Open Sans"/>
          <w:sz w:val="22"/>
        </w:rPr>
      </w:pPr>
    </w:p>
    <w:p w14:paraId="02CEE77E" w14:textId="2074FE41" w:rsidR="0029102E" w:rsidRPr="00771430" w:rsidRDefault="0029102E" w:rsidP="0029102E">
      <w:pPr>
        <w:spacing w:after="0" w:line="240" w:lineRule="auto"/>
        <w:rPr>
          <w:rFonts w:ascii="Open Sans" w:hAnsi="Open Sans" w:cs="Open Sans"/>
          <w:sz w:val="24"/>
          <w:szCs w:val="24"/>
        </w:rPr>
      </w:pPr>
      <w:r w:rsidRPr="00771430">
        <w:rPr>
          <w:rFonts w:ascii="Open Sans" w:hAnsi="Open Sans" w:cs="Open Sans"/>
          <w:b/>
          <w:sz w:val="24"/>
          <w:szCs w:val="24"/>
        </w:rPr>
        <w:t xml:space="preserve">Overview of the quarter ended </w:t>
      </w:r>
      <w:r w:rsidR="00391563">
        <w:rPr>
          <w:rFonts w:ascii="Open Sans" w:hAnsi="Open Sans" w:cs="Open Sans"/>
          <w:b/>
          <w:sz w:val="24"/>
          <w:szCs w:val="24"/>
        </w:rPr>
        <w:t>December 31</w:t>
      </w:r>
      <w:r>
        <w:rPr>
          <w:rFonts w:ascii="Open Sans" w:hAnsi="Open Sans" w:cs="Open Sans"/>
          <w:b/>
          <w:sz w:val="24"/>
          <w:szCs w:val="24"/>
        </w:rPr>
        <w:t>, 202</w:t>
      </w:r>
      <w:r w:rsidR="00140F77">
        <w:rPr>
          <w:rFonts w:ascii="Open Sans" w:hAnsi="Open Sans" w:cs="Open Sans"/>
          <w:b/>
          <w:sz w:val="24"/>
          <w:szCs w:val="24"/>
        </w:rPr>
        <w:t>1</w:t>
      </w:r>
      <w:r w:rsidRPr="00771430">
        <w:rPr>
          <w:rFonts w:ascii="Open Sans" w:hAnsi="Open Sans" w:cs="Open Sans"/>
          <w:sz w:val="24"/>
          <w:szCs w:val="24"/>
        </w:rPr>
        <w:t>:</w:t>
      </w:r>
    </w:p>
    <w:p w14:paraId="56938066" w14:textId="77777777" w:rsidR="0029102E" w:rsidRPr="00771430" w:rsidRDefault="0029102E" w:rsidP="0029102E">
      <w:pPr>
        <w:spacing w:after="0" w:line="240" w:lineRule="auto"/>
        <w:rPr>
          <w:rFonts w:ascii="Open Sans" w:hAnsi="Open Sans" w:cs="Open Sans"/>
          <w:sz w:val="22"/>
        </w:rPr>
      </w:pPr>
    </w:p>
    <w:p w14:paraId="6A5585FB" w14:textId="7FF30261" w:rsidR="00770E01" w:rsidRDefault="00770E01" w:rsidP="00770E01">
      <w:pPr>
        <w:pStyle w:val="ListParagraph"/>
        <w:numPr>
          <w:ilvl w:val="0"/>
          <w:numId w:val="1"/>
        </w:numPr>
        <w:spacing w:after="0"/>
        <w:jc w:val="both"/>
        <w:rPr>
          <w:rFonts w:ascii="Open Sans" w:hAnsi="Open Sans" w:cs="Open Sans"/>
          <w:sz w:val="22"/>
          <w:szCs w:val="22"/>
        </w:rPr>
      </w:pPr>
      <w:r w:rsidRPr="00771430">
        <w:rPr>
          <w:rFonts w:ascii="Open Sans" w:hAnsi="Open Sans" w:cs="Open Sans"/>
          <w:sz w:val="22"/>
          <w:szCs w:val="22"/>
        </w:rPr>
        <w:t>Shareholders’ equity of $</w:t>
      </w:r>
      <w:r w:rsidR="00E67E2D">
        <w:rPr>
          <w:rFonts w:ascii="Open Sans" w:hAnsi="Open Sans" w:cs="Open Sans"/>
          <w:sz w:val="22"/>
          <w:szCs w:val="22"/>
        </w:rPr>
        <w:t>586.5</w:t>
      </w:r>
      <w:r w:rsidRPr="00771430">
        <w:rPr>
          <w:rFonts w:ascii="Open Sans" w:hAnsi="Open Sans" w:cs="Open Sans"/>
          <w:sz w:val="22"/>
          <w:szCs w:val="22"/>
        </w:rPr>
        <w:t xml:space="preserve"> million as </w:t>
      </w:r>
      <w:proofErr w:type="gramStart"/>
      <w:r w:rsidRPr="00771430">
        <w:rPr>
          <w:rFonts w:ascii="Open Sans" w:hAnsi="Open Sans" w:cs="Open Sans"/>
          <w:sz w:val="22"/>
          <w:szCs w:val="22"/>
        </w:rPr>
        <w:t>at</w:t>
      </w:r>
      <w:proofErr w:type="gramEnd"/>
      <w:r w:rsidRPr="00771430">
        <w:rPr>
          <w:rFonts w:ascii="Open Sans" w:hAnsi="Open Sans" w:cs="Open Sans"/>
          <w:sz w:val="22"/>
          <w:szCs w:val="22"/>
        </w:rPr>
        <w:t xml:space="preserve"> </w:t>
      </w:r>
      <w:r w:rsidR="00391563">
        <w:rPr>
          <w:rFonts w:ascii="Open Sans" w:hAnsi="Open Sans" w:cs="Open Sans"/>
          <w:sz w:val="22"/>
          <w:szCs w:val="22"/>
        </w:rPr>
        <w:t>December 31</w:t>
      </w:r>
      <w:r>
        <w:rPr>
          <w:rFonts w:ascii="Open Sans" w:hAnsi="Open Sans" w:cs="Open Sans"/>
          <w:sz w:val="22"/>
          <w:szCs w:val="22"/>
        </w:rPr>
        <w:t>, 202</w:t>
      </w:r>
      <w:r w:rsidR="00203C64">
        <w:rPr>
          <w:rFonts w:ascii="Open Sans" w:hAnsi="Open Sans" w:cs="Open Sans"/>
          <w:sz w:val="22"/>
          <w:szCs w:val="22"/>
        </w:rPr>
        <w:t>1</w:t>
      </w:r>
      <w:r w:rsidRPr="00771430">
        <w:rPr>
          <w:rFonts w:ascii="Open Sans" w:hAnsi="Open Sans" w:cs="Open Sans"/>
          <w:sz w:val="22"/>
          <w:szCs w:val="22"/>
        </w:rPr>
        <w:t xml:space="preserve"> (</w:t>
      </w:r>
      <w:r w:rsidRPr="00771430">
        <w:rPr>
          <w:rFonts w:ascii="Open Sans" w:eastAsia="Calibri" w:hAnsi="Open Sans" w:cs="Open Sans"/>
          <w:sz w:val="22"/>
          <w:szCs w:val="22"/>
        </w:rPr>
        <w:t>September 30, 20</w:t>
      </w:r>
      <w:r>
        <w:rPr>
          <w:rFonts w:ascii="Open Sans" w:eastAsia="Calibri" w:hAnsi="Open Sans" w:cs="Open Sans"/>
          <w:sz w:val="22"/>
          <w:szCs w:val="22"/>
        </w:rPr>
        <w:t>2</w:t>
      </w:r>
      <w:r w:rsidR="00391563">
        <w:rPr>
          <w:rFonts w:ascii="Open Sans" w:eastAsia="Calibri" w:hAnsi="Open Sans" w:cs="Open Sans"/>
          <w:sz w:val="22"/>
          <w:szCs w:val="22"/>
        </w:rPr>
        <w:t>1</w:t>
      </w:r>
      <w:r w:rsidRPr="00771430">
        <w:rPr>
          <w:rFonts w:ascii="Open Sans" w:hAnsi="Open Sans" w:cs="Open Sans"/>
          <w:sz w:val="22"/>
          <w:szCs w:val="22"/>
        </w:rPr>
        <w:t>: $</w:t>
      </w:r>
      <w:r w:rsidR="00391563">
        <w:rPr>
          <w:rFonts w:ascii="Open Sans" w:hAnsi="Open Sans" w:cs="Open Sans"/>
          <w:sz w:val="22"/>
          <w:szCs w:val="22"/>
        </w:rPr>
        <w:t>617.8</w:t>
      </w:r>
      <w:r w:rsidRPr="00771430">
        <w:rPr>
          <w:rFonts w:ascii="Open Sans" w:hAnsi="Open Sans" w:cs="Open Sans"/>
          <w:sz w:val="22"/>
          <w:szCs w:val="22"/>
        </w:rPr>
        <w:t xml:space="preserve"> million)</w:t>
      </w:r>
      <w:r>
        <w:rPr>
          <w:rFonts w:ascii="Open Sans" w:hAnsi="Open Sans" w:cs="Open Sans"/>
          <w:sz w:val="22"/>
          <w:szCs w:val="22"/>
        </w:rPr>
        <w:t>;</w:t>
      </w:r>
    </w:p>
    <w:p w14:paraId="69F154F7" w14:textId="77777777" w:rsidR="00770E01" w:rsidRDefault="00770E01" w:rsidP="00770E01">
      <w:pPr>
        <w:spacing w:after="0" w:line="240" w:lineRule="auto"/>
        <w:ind w:left="360"/>
        <w:contextualSpacing/>
        <w:jc w:val="both"/>
        <w:rPr>
          <w:rFonts w:ascii="Open Sans" w:hAnsi="Open Sans" w:cs="Open Sans"/>
          <w:sz w:val="22"/>
        </w:rPr>
      </w:pPr>
    </w:p>
    <w:p w14:paraId="4A6A654D" w14:textId="14FBADBB" w:rsidR="007971D5" w:rsidRPr="00771430" w:rsidRDefault="007971D5" w:rsidP="007971D5">
      <w:pPr>
        <w:numPr>
          <w:ilvl w:val="0"/>
          <w:numId w:val="1"/>
        </w:numPr>
        <w:spacing w:after="0" w:line="240" w:lineRule="auto"/>
        <w:contextualSpacing/>
        <w:jc w:val="both"/>
        <w:rPr>
          <w:rFonts w:ascii="Open Sans" w:hAnsi="Open Sans" w:cs="Open Sans"/>
          <w:sz w:val="22"/>
        </w:rPr>
      </w:pPr>
      <w:r>
        <w:rPr>
          <w:rFonts w:ascii="Open Sans" w:hAnsi="Open Sans" w:cs="Open Sans"/>
          <w:sz w:val="22"/>
        </w:rPr>
        <w:t>Net loss</w:t>
      </w:r>
      <w:r w:rsidRPr="00771430">
        <w:rPr>
          <w:rFonts w:ascii="Open Sans" w:hAnsi="Open Sans" w:cs="Open Sans"/>
          <w:sz w:val="22"/>
        </w:rPr>
        <w:t xml:space="preserve"> of $</w:t>
      </w:r>
      <w:r w:rsidR="00E67E2D">
        <w:rPr>
          <w:rFonts w:ascii="Open Sans" w:hAnsi="Open Sans" w:cs="Open Sans"/>
          <w:sz w:val="22"/>
        </w:rPr>
        <w:t>22.5</w:t>
      </w:r>
      <w:r w:rsidRPr="00771430">
        <w:rPr>
          <w:rFonts w:ascii="Open Sans" w:hAnsi="Open Sans" w:cs="Open Sans"/>
          <w:sz w:val="22"/>
        </w:rPr>
        <w:t xml:space="preserve"> million for the quarter (20</w:t>
      </w:r>
      <w:r>
        <w:rPr>
          <w:rFonts w:ascii="Open Sans" w:hAnsi="Open Sans" w:cs="Open Sans"/>
          <w:sz w:val="22"/>
        </w:rPr>
        <w:t>20</w:t>
      </w:r>
      <w:r w:rsidRPr="00771430">
        <w:rPr>
          <w:rFonts w:ascii="Open Sans" w:hAnsi="Open Sans" w:cs="Open Sans"/>
          <w:sz w:val="22"/>
        </w:rPr>
        <w:t xml:space="preserve">: </w:t>
      </w:r>
      <w:r w:rsidR="00391563">
        <w:rPr>
          <w:rFonts w:ascii="Open Sans" w:hAnsi="Open Sans" w:cs="Open Sans"/>
          <w:sz w:val="22"/>
        </w:rPr>
        <w:t xml:space="preserve">income </w:t>
      </w:r>
      <w:r w:rsidR="00621A79">
        <w:rPr>
          <w:rFonts w:ascii="Open Sans" w:hAnsi="Open Sans" w:cs="Open Sans"/>
          <w:sz w:val="22"/>
        </w:rPr>
        <w:t xml:space="preserve">of </w:t>
      </w:r>
      <w:r>
        <w:rPr>
          <w:rFonts w:ascii="Open Sans" w:hAnsi="Open Sans" w:cs="Open Sans"/>
          <w:sz w:val="22"/>
        </w:rPr>
        <w:t>$</w:t>
      </w:r>
      <w:r w:rsidR="00391563">
        <w:rPr>
          <w:rFonts w:ascii="Open Sans" w:hAnsi="Open Sans" w:cs="Open Sans"/>
          <w:sz w:val="22"/>
        </w:rPr>
        <w:t>190.0</w:t>
      </w:r>
      <w:r w:rsidRPr="00771430">
        <w:rPr>
          <w:rFonts w:ascii="Open Sans" w:hAnsi="Open Sans" w:cs="Open Sans"/>
          <w:sz w:val="22"/>
        </w:rPr>
        <w:t xml:space="preserve"> million)</w:t>
      </w:r>
      <w:r w:rsidR="00753AEA">
        <w:rPr>
          <w:rFonts w:ascii="Open Sans" w:hAnsi="Open Sans" w:cs="Open Sans"/>
          <w:sz w:val="22"/>
        </w:rPr>
        <w:t xml:space="preserve"> result</w:t>
      </w:r>
      <w:r w:rsidR="005668C1">
        <w:rPr>
          <w:rFonts w:ascii="Open Sans" w:hAnsi="Open Sans" w:cs="Open Sans"/>
          <w:sz w:val="22"/>
        </w:rPr>
        <w:t>ing</w:t>
      </w:r>
      <w:r w:rsidR="00753AEA">
        <w:rPr>
          <w:rFonts w:ascii="Open Sans" w:hAnsi="Open Sans" w:cs="Open Sans"/>
          <w:sz w:val="22"/>
        </w:rPr>
        <w:t xml:space="preserve"> from a decrease in the value of the investment portfolio by </w:t>
      </w:r>
      <w:proofErr w:type="gramStart"/>
      <w:r w:rsidR="00CB39E2">
        <w:rPr>
          <w:rFonts w:ascii="Open Sans" w:hAnsi="Open Sans" w:cs="Open Sans"/>
          <w:sz w:val="22"/>
        </w:rPr>
        <w:t>3.0</w:t>
      </w:r>
      <w:r w:rsidR="00753AEA">
        <w:rPr>
          <w:rFonts w:ascii="Open Sans" w:hAnsi="Open Sans" w:cs="Open Sans"/>
          <w:sz w:val="22"/>
        </w:rPr>
        <w:t>%</w:t>
      </w:r>
      <w:r>
        <w:rPr>
          <w:rFonts w:ascii="Open Sans" w:hAnsi="Open Sans" w:cs="Open Sans"/>
          <w:sz w:val="22"/>
        </w:rPr>
        <w:t>;</w:t>
      </w:r>
      <w:proofErr w:type="gramEnd"/>
    </w:p>
    <w:p w14:paraId="66A3636E" w14:textId="77777777" w:rsidR="007971D5" w:rsidRDefault="007971D5" w:rsidP="007971D5">
      <w:pPr>
        <w:spacing w:after="0" w:line="240" w:lineRule="auto"/>
        <w:ind w:left="360"/>
        <w:contextualSpacing/>
        <w:jc w:val="both"/>
        <w:rPr>
          <w:rFonts w:ascii="Open Sans" w:hAnsi="Open Sans" w:cs="Open Sans"/>
          <w:sz w:val="22"/>
        </w:rPr>
      </w:pPr>
    </w:p>
    <w:p w14:paraId="5B81F95E" w14:textId="0AFC782E" w:rsidR="00770E01" w:rsidRDefault="00770E01" w:rsidP="00770E01">
      <w:pPr>
        <w:numPr>
          <w:ilvl w:val="0"/>
          <w:numId w:val="1"/>
        </w:numPr>
        <w:spacing w:after="0" w:line="240" w:lineRule="auto"/>
        <w:contextualSpacing/>
        <w:jc w:val="both"/>
        <w:rPr>
          <w:rFonts w:ascii="Open Sans" w:hAnsi="Open Sans" w:cs="Open Sans"/>
          <w:sz w:val="22"/>
        </w:rPr>
      </w:pPr>
      <w:r>
        <w:rPr>
          <w:rFonts w:ascii="Open Sans" w:hAnsi="Open Sans" w:cs="Open Sans"/>
          <w:sz w:val="22"/>
        </w:rPr>
        <w:t xml:space="preserve">Gearing ratio of </w:t>
      </w:r>
      <w:r w:rsidR="00E67E2D">
        <w:rPr>
          <w:rFonts w:ascii="Open Sans" w:hAnsi="Open Sans" w:cs="Open Sans"/>
          <w:sz w:val="22"/>
        </w:rPr>
        <w:t>1</w:t>
      </w:r>
      <w:r w:rsidR="00623DA4">
        <w:rPr>
          <w:rFonts w:ascii="Open Sans" w:hAnsi="Open Sans" w:cs="Open Sans"/>
          <w:sz w:val="22"/>
        </w:rPr>
        <w:t>4</w:t>
      </w:r>
      <w:r w:rsidR="00E67E2D">
        <w:rPr>
          <w:rFonts w:ascii="Open Sans" w:hAnsi="Open Sans" w:cs="Open Sans"/>
          <w:sz w:val="22"/>
        </w:rPr>
        <w:t>.</w:t>
      </w:r>
      <w:r w:rsidR="00623DA4">
        <w:rPr>
          <w:rFonts w:ascii="Open Sans" w:hAnsi="Open Sans" w:cs="Open Sans"/>
          <w:sz w:val="22"/>
        </w:rPr>
        <w:t>2</w:t>
      </w:r>
      <w:r>
        <w:rPr>
          <w:rFonts w:ascii="Open Sans" w:hAnsi="Open Sans" w:cs="Open Sans"/>
          <w:sz w:val="22"/>
        </w:rPr>
        <w:t>% (September 30, 202</w:t>
      </w:r>
      <w:r w:rsidR="00391563">
        <w:rPr>
          <w:rFonts w:ascii="Open Sans" w:hAnsi="Open Sans" w:cs="Open Sans"/>
          <w:sz w:val="22"/>
        </w:rPr>
        <w:t>1</w:t>
      </w:r>
      <w:r>
        <w:rPr>
          <w:rFonts w:ascii="Open Sans" w:hAnsi="Open Sans" w:cs="Open Sans"/>
          <w:sz w:val="22"/>
        </w:rPr>
        <w:t>: 1</w:t>
      </w:r>
      <w:r w:rsidR="00623DA4">
        <w:rPr>
          <w:rFonts w:ascii="Open Sans" w:hAnsi="Open Sans" w:cs="Open Sans"/>
          <w:sz w:val="22"/>
        </w:rPr>
        <w:t>3</w:t>
      </w:r>
      <w:r>
        <w:rPr>
          <w:rFonts w:ascii="Open Sans" w:hAnsi="Open Sans" w:cs="Open Sans"/>
          <w:sz w:val="22"/>
        </w:rPr>
        <w:t>.</w:t>
      </w:r>
      <w:r w:rsidR="00623DA4">
        <w:rPr>
          <w:rFonts w:ascii="Open Sans" w:hAnsi="Open Sans" w:cs="Open Sans"/>
          <w:sz w:val="22"/>
        </w:rPr>
        <w:t>1</w:t>
      </w:r>
      <w:r>
        <w:rPr>
          <w:rFonts w:ascii="Open Sans" w:hAnsi="Open Sans" w:cs="Open Sans"/>
          <w:sz w:val="22"/>
        </w:rPr>
        <w:t>%);</w:t>
      </w:r>
      <w:r w:rsidR="00391563">
        <w:rPr>
          <w:rFonts w:ascii="Open Sans" w:hAnsi="Open Sans" w:cs="Open Sans"/>
          <w:sz w:val="22"/>
        </w:rPr>
        <w:t xml:space="preserve"> and</w:t>
      </w:r>
    </w:p>
    <w:p w14:paraId="01A069EA" w14:textId="77777777" w:rsidR="0029102E" w:rsidRDefault="0029102E" w:rsidP="00770E01">
      <w:pPr>
        <w:spacing w:after="0" w:line="240" w:lineRule="auto"/>
        <w:ind w:left="720"/>
        <w:contextualSpacing/>
        <w:jc w:val="both"/>
        <w:rPr>
          <w:rFonts w:ascii="Open Sans" w:hAnsi="Open Sans" w:cs="Open Sans"/>
          <w:sz w:val="22"/>
        </w:rPr>
      </w:pPr>
    </w:p>
    <w:p w14:paraId="020BD5B5" w14:textId="04A520EF" w:rsidR="0029102E" w:rsidRPr="00771430" w:rsidRDefault="0029102E" w:rsidP="00770E01">
      <w:pPr>
        <w:numPr>
          <w:ilvl w:val="0"/>
          <w:numId w:val="1"/>
        </w:numPr>
        <w:spacing w:after="0" w:line="240" w:lineRule="auto"/>
        <w:contextualSpacing/>
        <w:jc w:val="both"/>
        <w:rPr>
          <w:rFonts w:ascii="Open Sans" w:hAnsi="Open Sans" w:cs="Open Sans"/>
          <w:sz w:val="22"/>
        </w:rPr>
      </w:pPr>
      <w:r w:rsidRPr="00771430">
        <w:rPr>
          <w:rFonts w:ascii="Open Sans" w:hAnsi="Open Sans" w:cs="Open Sans"/>
          <w:sz w:val="22"/>
        </w:rPr>
        <w:t>NAV per share of $</w:t>
      </w:r>
      <w:r w:rsidR="00E67E2D">
        <w:rPr>
          <w:rFonts w:ascii="Open Sans" w:hAnsi="Open Sans" w:cs="Open Sans"/>
          <w:sz w:val="22"/>
        </w:rPr>
        <w:t>26.32</w:t>
      </w:r>
      <w:r w:rsidRPr="00771430">
        <w:rPr>
          <w:rFonts w:ascii="Open Sans" w:hAnsi="Open Sans" w:cs="Open Sans"/>
          <w:sz w:val="22"/>
        </w:rPr>
        <w:t xml:space="preserve"> as </w:t>
      </w:r>
      <w:proofErr w:type="gramStart"/>
      <w:r w:rsidRPr="00771430">
        <w:rPr>
          <w:rFonts w:ascii="Open Sans" w:hAnsi="Open Sans" w:cs="Open Sans"/>
          <w:sz w:val="22"/>
        </w:rPr>
        <w:t>at</w:t>
      </w:r>
      <w:proofErr w:type="gramEnd"/>
      <w:r w:rsidRPr="00771430">
        <w:rPr>
          <w:rFonts w:ascii="Open Sans" w:hAnsi="Open Sans" w:cs="Open Sans"/>
          <w:sz w:val="22"/>
        </w:rPr>
        <w:t xml:space="preserve"> </w:t>
      </w:r>
      <w:r w:rsidR="00391563">
        <w:rPr>
          <w:rFonts w:ascii="Open Sans" w:hAnsi="Open Sans" w:cs="Open Sans"/>
          <w:sz w:val="22"/>
        </w:rPr>
        <w:t>December</w:t>
      </w:r>
      <w:r>
        <w:rPr>
          <w:rFonts w:ascii="Open Sans" w:hAnsi="Open Sans" w:cs="Open Sans"/>
          <w:sz w:val="22"/>
        </w:rPr>
        <w:t xml:space="preserve"> 3</w:t>
      </w:r>
      <w:r w:rsidR="00391563">
        <w:rPr>
          <w:rFonts w:ascii="Open Sans" w:hAnsi="Open Sans" w:cs="Open Sans"/>
          <w:sz w:val="22"/>
        </w:rPr>
        <w:t>1</w:t>
      </w:r>
      <w:r>
        <w:rPr>
          <w:rFonts w:ascii="Open Sans" w:hAnsi="Open Sans" w:cs="Open Sans"/>
          <w:sz w:val="22"/>
        </w:rPr>
        <w:t>, 202</w:t>
      </w:r>
      <w:r w:rsidR="00140F77">
        <w:rPr>
          <w:rFonts w:ascii="Open Sans" w:hAnsi="Open Sans" w:cs="Open Sans"/>
          <w:sz w:val="22"/>
        </w:rPr>
        <w:t>1</w:t>
      </w:r>
      <w:r w:rsidRPr="00771430">
        <w:rPr>
          <w:rFonts w:ascii="Open Sans" w:hAnsi="Open Sans" w:cs="Open Sans"/>
          <w:sz w:val="22"/>
        </w:rPr>
        <w:t xml:space="preserve"> (September 30, 20</w:t>
      </w:r>
      <w:r w:rsidR="00140F77">
        <w:rPr>
          <w:rFonts w:ascii="Open Sans" w:hAnsi="Open Sans" w:cs="Open Sans"/>
          <w:sz w:val="22"/>
        </w:rPr>
        <w:t>2</w:t>
      </w:r>
      <w:r w:rsidR="00391563">
        <w:rPr>
          <w:rFonts w:ascii="Open Sans" w:hAnsi="Open Sans" w:cs="Open Sans"/>
          <w:sz w:val="22"/>
        </w:rPr>
        <w:t>1</w:t>
      </w:r>
      <w:r w:rsidRPr="00771430">
        <w:rPr>
          <w:rFonts w:ascii="Open Sans" w:hAnsi="Open Sans" w:cs="Open Sans"/>
          <w:sz w:val="22"/>
        </w:rPr>
        <w:t>: $</w:t>
      </w:r>
      <w:r w:rsidR="00391563">
        <w:rPr>
          <w:rFonts w:ascii="Open Sans" w:hAnsi="Open Sans" w:cs="Open Sans"/>
          <w:sz w:val="22"/>
        </w:rPr>
        <w:t>27.70</w:t>
      </w:r>
      <w:r w:rsidRPr="00771430">
        <w:rPr>
          <w:rFonts w:ascii="Open Sans" w:hAnsi="Open Sans" w:cs="Open Sans"/>
          <w:sz w:val="22"/>
        </w:rPr>
        <w:t>)</w:t>
      </w:r>
      <w:r w:rsidR="00391563">
        <w:rPr>
          <w:rFonts w:ascii="Open Sans" w:hAnsi="Open Sans" w:cs="Open Sans"/>
          <w:sz w:val="22"/>
        </w:rPr>
        <w:t>.</w:t>
      </w:r>
    </w:p>
    <w:p w14:paraId="1B122DDD" w14:textId="77777777" w:rsidR="0029102E" w:rsidRPr="00771430" w:rsidRDefault="0029102E" w:rsidP="00770E01">
      <w:pPr>
        <w:spacing w:after="0" w:line="240" w:lineRule="auto"/>
        <w:ind w:left="720"/>
        <w:contextualSpacing/>
        <w:rPr>
          <w:rFonts w:ascii="Open Sans" w:hAnsi="Open Sans" w:cs="Open Sans"/>
          <w:sz w:val="22"/>
        </w:rPr>
      </w:pPr>
    </w:p>
    <w:p w14:paraId="7954C3ED" w14:textId="77777777" w:rsidR="00B3416F" w:rsidRPr="00771430" w:rsidRDefault="00B3416F" w:rsidP="00B3416F">
      <w:pPr>
        <w:pStyle w:val="ListParagraph"/>
        <w:spacing w:after="0"/>
        <w:jc w:val="both"/>
        <w:rPr>
          <w:rFonts w:ascii="Open Sans" w:hAnsi="Open Sans" w:cs="Open Sans"/>
          <w:sz w:val="22"/>
          <w:szCs w:val="22"/>
        </w:rPr>
      </w:pPr>
    </w:p>
    <w:p w14:paraId="5A3D8CAC" w14:textId="77777777" w:rsidR="0029102E" w:rsidRPr="00771430" w:rsidRDefault="0029102E" w:rsidP="0029102E">
      <w:pPr>
        <w:spacing w:after="0" w:line="240" w:lineRule="auto"/>
        <w:rPr>
          <w:rFonts w:ascii="Open Sans" w:hAnsi="Open Sans" w:cs="Open Sans"/>
          <w:sz w:val="24"/>
          <w:szCs w:val="24"/>
        </w:rPr>
      </w:pPr>
      <w:r w:rsidRPr="00771430">
        <w:rPr>
          <w:rFonts w:ascii="Open Sans" w:hAnsi="Open Sans" w:cs="Open Sans"/>
          <w:b/>
          <w:sz w:val="24"/>
          <w:szCs w:val="24"/>
        </w:rPr>
        <w:t>Investment highlights</w:t>
      </w:r>
      <w:r w:rsidRPr="00771430">
        <w:rPr>
          <w:rFonts w:ascii="Open Sans" w:hAnsi="Open Sans" w:cs="Open Sans"/>
          <w:sz w:val="24"/>
          <w:szCs w:val="24"/>
        </w:rPr>
        <w:t>:</w:t>
      </w:r>
    </w:p>
    <w:p w14:paraId="064A882A" w14:textId="77777777" w:rsidR="0029102E" w:rsidRPr="00771430" w:rsidRDefault="0029102E" w:rsidP="0029102E">
      <w:pPr>
        <w:spacing w:after="0" w:line="240" w:lineRule="auto"/>
        <w:rPr>
          <w:rFonts w:ascii="Open Sans" w:hAnsi="Open Sans" w:cs="Open Sans"/>
          <w:sz w:val="22"/>
        </w:rPr>
      </w:pPr>
    </w:p>
    <w:p w14:paraId="0109A0B9" w14:textId="09A6EBC6" w:rsidR="009133A6" w:rsidRDefault="0029102E" w:rsidP="0029102E">
      <w:pPr>
        <w:pStyle w:val="ListParagraph"/>
        <w:numPr>
          <w:ilvl w:val="0"/>
          <w:numId w:val="1"/>
        </w:numPr>
        <w:spacing w:after="0"/>
        <w:jc w:val="both"/>
        <w:rPr>
          <w:rFonts w:ascii="Open Sans" w:hAnsi="Open Sans" w:cs="Open Sans"/>
          <w:sz w:val="22"/>
          <w:szCs w:val="22"/>
        </w:rPr>
      </w:pPr>
      <w:r w:rsidRPr="00583E64">
        <w:rPr>
          <w:rFonts w:ascii="Open Sans" w:hAnsi="Open Sans" w:cs="Open Sans"/>
          <w:sz w:val="22"/>
          <w:szCs w:val="22"/>
        </w:rPr>
        <w:t>Resimac Group Limited (“Resimac”)</w:t>
      </w:r>
      <w:r w:rsidR="00392EC7">
        <w:rPr>
          <w:rFonts w:ascii="Open Sans" w:hAnsi="Open Sans" w:cs="Open Sans"/>
          <w:sz w:val="22"/>
          <w:szCs w:val="22"/>
        </w:rPr>
        <w:t>, Somers</w:t>
      </w:r>
      <w:r w:rsidR="00054D47">
        <w:rPr>
          <w:rFonts w:ascii="Open Sans" w:hAnsi="Open Sans" w:cs="Open Sans"/>
          <w:sz w:val="22"/>
          <w:szCs w:val="22"/>
        </w:rPr>
        <w:t>’</w:t>
      </w:r>
      <w:r w:rsidR="00392EC7">
        <w:rPr>
          <w:rFonts w:ascii="Open Sans" w:hAnsi="Open Sans" w:cs="Open Sans"/>
          <w:sz w:val="22"/>
          <w:szCs w:val="22"/>
        </w:rPr>
        <w:t xml:space="preserve"> largest investment,</w:t>
      </w:r>
      <w:r w:rsidRPr="00583E64">
        <w:rPr>
          <w:rFonts w:ascii="Open Sans" w:hAnsi="Open Sans" w:cs="Open Sans"/>
          <w:sz w:val="22"/>
          <w:szCs w:val="22"/>
        </w:rPr>
        <w:t xml:space="preserve"> </w:t>
      </w:r>
      <w:r w:rsidR="00A9343B" w:rsidRPr="00583E64">
        <w:rPr>
          <w:rFonts w:ascii="Open Sans" w:hAnsi="Open Sans" w:cs="Open Sans"/>
          <w:sz w:val="22"/>
          <w:szCs w:val="22"/>
        </w:rPr>
        <w:t xml:space="preserve">announced </w:t>
      </w:r>
      <w:r w:rsidR="009133A6">
        <w:rPr>
          <w:rFonts w:ascii="Open Sans" w:hAnsi="Open Sans" w:cs="Open Sans"/>
          <w:sz w:val="22"/>
          <w:szCs w:val="22"/>
        </w:rPr>
        <w:t>r</w:t>
      </w:r>
      <w:r w:rsidR="009133A6" w:rsidRPr="009133A6">
        <w:rPr>
          <w:rFonts w:ascii="Open Sans" w:hAnsi="Open Sans" w:cs="Open Sans"/>
          <w:sz w:val="22"/>
          <w:szCs w:val="22"/>
        </w:rPr>
        <w:t xml:space="preserve">ecord </w:t>
      </w:r>
      <w:r w:rsidR="00392EC7">
        <w:rPr>
          <w:rFonts w:ascii="Open Sans" w:hAnsi="Open Sans" w:cs="Open Sans"/>
          <w:sz w:val="22"/>
          <w:szCs w:val="22"/>
        </w:rPr>
        <w:t xml:space="preserve">home loan settlements of A$2.5 billion for the period July to October </w:t>
      </w:r>
      <w:r w:rsidR="00CB39E2">
        <w:rPr>
          <w:rFonts w:ascii="Open Sans" w:hAnsi="Open Sans" w:cs="Open Sans"/>
          <w:sz w:val="22"/>
          <w:szCs w:val="22"/>
        </w:rPr>
        <w:t xml:space="preserve">2021 </w:t>
      </w:r>
      <w:r w:rsidR="00392EC7">
        <w:rPr>
          <w:rFonts w:ascii="Open Sans" w:hAnsi="Open Sans" w:cs="Open Sans"/>
          <w:sz w:val="22"/>
          <w:szCs w:val="22"/>
        </w:rPr>
        <w:t xml:space="preserve">an increase of 72% on the prior comparative </w:t>
      </w:r>
      <w:proofErr w:type="gramStart"/>
      <w:r w:rsidR="00392EC7">
        <w:rPr>
          <w:rFonts w:ascii="Open Sans" w:hAnsi="Open Sans" w:cs="Open Sans"/>
          <w:sz w:val="22"/>
          <w:szCs w:val="22"/>
        </w:rPr>
        <w:t>period</w:t>
      </w:r>
      <w:r w:rsidR="009133A6">
        <w:rPr>
          <w:rFonts w:ascii="Open Sans" w:hAnsi="Open Sans" w:cs="Open Sans"/>
          <w:sz w:val="22"/>
          <w:szCs w:val="22"/>
        </w:rPr>
        <w:t>;</w:t>
      </w:r>
      <w:proofErr w:type="gramEnd"/>
      <w:r w:rsidR="009133A6" w:rsidRPr="009133A6">
        <w:rPr>
          <w:rFonts w:ascii="Open Sans" w:hAnsi="Open Sans" w:cs="Open Sans"/>
          <w:sz w:val="22"/>
          <w:szCs w:val="22"/>
        </w:rPr>
        <w:t xml:space="preserve"> </w:t>
      </w:r>
    </w:p>
    <w:p w14:paraId="20E0780F" w14:textId="77777777" w:rsidR="009133A6" w:rsidRPr="009133A6" w:rsidRDefault="009133A6" w:rsidP="009133A6">
      <w:pPr>
        <w:spacing w:after="0"/>
        <w:ind w:left="360"/>
        <w:jc w:val="both"/>
        <w:rPr>
          <w:rFonts w:ascii="Open Sans" w:hAnsi="Open Sans" w:cs="Open Sans"/>
          <w:sz w:val="22"/>
        </w:rPr>
      </w:pPr>
    </w:p>
    <w:p w14:paraId="146BB6F5" w14:textId="66D1859F" w:rsidR="0029102E" w:rsidRDefault="0029102E" w:rsidP="0029102E">
      <w:pPr>
        <w:pStyle w:val="ListParagraph"/>
        <w:numPr>
          <w:ilvl w:val="0"/>
          <w:numId w:val="1"/>
        </w:numPr>
        <w:spacing w:after="0"/>
        <w:jc w:val="both"/>
        <w:rPr>
          <w:rFonts w:ascii="Open Sans" w:hAnsi="Open Sans" w:cs="Open Sans"/>
          <w:sz w:val="22"/>
          <w:szCs w:val="22"/>
        </w:rPr>
      </w:pPr>
      <w:r w:rsidRPr="00757ED8">
        <w:rPr>
          <w:rFonts w:ascii="Open Sans" w:hAnsi="Open Sans" w:cs="Open Sans"/>
          <w:sz w:val="22"/>
          <w:szCs w:val="22"/>
        </w:rPr>
        <w:t xml:space="preserve">Waverton Investment Management Group Limited (“Waverton”) reported </w:t>
      </w:r>
      <w:r w:rsidR="00391563">
        <w:rPr>
          <w:rFonts w:ascii="Open Sans" w:hAnsi="Open Sans" w:cs="Open Sans"/>
          <w:sz w:val="22"/>
          <w:szCs w:val="22"/>
        </w:rPr>
        <w:t xml:space="preserve">Funds under Management and Administration (“FUMA”) as </w:t>
      </w:r>
      <w:proofErr w:type="gramStart"/>
      <w:r w:rsidR="00391563">
        <w:rPr>
          <w:rFonts w:ascii="Open Sans" w:hAnsi="Open Sans" w:cs="Open Sans"/>
          <w:sz w:val="22"/>
          <w:szCs w:val="22"/>
        </w:rPr>
        <w:t>at</w:t>
      </w:r>
      <w:proofErr w:type="gramEnd"/>
      <w:r w:rsidR="00391563">
        <w:rPr>
          <w:rFonts w:ascii="Open Sans" w:hAnsi="Open Sans" w:cs="Open Sans"/>
          <w:sz w:val="22"/>
          <w:szCs w:val="22"/>
        </w:rPr>
        <w:t xml:space="preserve"> December 31, 2021</w:t>
      </w:r>
      <w:r w:rsidRPr="00757ED8">
        <w:rPr>
          <w:rFonts w:ascii="Open Sans" w:hAnsi="Open Sans" w:cs="Open Sans"/>
          <w:sz w:val="22"/>
          <w:szCs w:val="22"/>
        </w:rPr>
        <w:t>of £</w:t>
      </w:r>
      <w:r w:rsidR="00E67E2D">
        <w:rPr>
          <w:rFonts w:ascii="Open Sans" w:hAnsi="Open Sans" w:cs="Open Sans"/>
          <w:sz w:val="22"/>
          <w:szCs w:val="22"/>
        </w:rPr>
        <w:t>12.8</w:t>
      </w:r>
      <w:r w:rsidRPr="00757ED8">
        <w:rPr>
          <w:rFonts w:ascii="Open Sans" w:hAnsi="Open Sans" w:cs="Open Sans"/>
          <w:sz w:val="22"/>
          <w:szCs w:val="22"/>
        </w:rPr>
        <w:t xml:space="preserve"> billion;</w:t>
      </w:r>
    </w:p>
    <w:p w14:paraId="1E147037" w14:textId="77777777" w:rsidR="00D7752C" w:rsidRPr="00D7752C" w:rsidRDefault="00D7752C" w:rsidP="00D7752C">
      <w:pPr>
        <w:pStyle w:val="ListParagraph"/>
        <w:rPr>
          <w:rFonts w:ascii="Open Sans" w:hAnsi="Open Sans" w:cs="Open Sans"/>
          <w:sz w:val="22"/>
          <w:szCs w:val="22"/>
        </w:rPr>
      </w:pPr>
    </w:p>
    <w:p w14:paraId="1280FB6B" w14:textId="0F463CAC" w:rsidR="008455FB" w:rsidRDefault="008455FB" w:rsidP="0029102E">
      <w:pPr>
        <w:pStyle w:val="ListParagraph"/>
        <w:numPr>
          <w:ilvl w:val="0"/>
          <w:numId w:val="1"/>
        </w:numPr>
        <w:spacing w:after="0"/>
        <w:jc w:val="both"/>
        <w:rPr>
          <w:rFonts w:ascii="Open Sans" w:hAnsi="Open Sans" w:cs="Open Sans"/>
          <w:sz w:val="22"/>
          <w:szCs w:val="22"/>
        </w:rPr>
      </w:pPr>
      <w:r>
        <w:rPr>
          <w:rFonts w:ascii="Open Sans" w:hAnsi="Open Sans" w:cs="Open Sans"/>
          <w:sz w:val="22"/>
          <w:szCs w:val="22"/>
        </w:rPr>
        <w:t xml:space="preserve">Aura Group announced that it had surpassed A$1 billion in </w:t>
      </w:r>
      <w:proofErr w:type="gramStart"/>
      <w:r>
        <w:rPr>
          <w:rFonts w:ascii="Open Sans" w:hAnsi="Open Sans" w:cs="Open Sans"/>
          <w:sz w:val="22"/>
          <w:szCs w:val="22"/>
        </w:rPr>
        <w:t>FUMA;</w:t>
      </w:r>
      <w:proofErr w:type="gramEnd"/>
    </w:p>
    <w:p w14:paraId="7939FB61" w14:textId="77777777" w:rsidR="008455FB" w:rsidRPr="008455FB" w:rsidRDefault="008455FB" w:rsidP="008455FB">
      <w:pPr>
        <w:pStyle w:val="ListParagraph"/>
        <w:rPr>
          <w:rFonts w:ascii="Open Sans" w:hAnsi="Open Sans" w:cs="Open Sans"/>
          <w:sz w:val="22"/>
          <w:szCs w:val="22"/>
        </w:rPr>
      </w:pPr>
    </w:p>
    <w:p w14:paraId="17D9EAE1" w14:textId="1C3E0636" w:rsidR="00D7752C" w:rsidRPr="00757ED8" w:rsidRDefault="00144679" w:rsidP="0029102E">
      <w:pPr>
        <w:pStyle w:val="ListParagraph"/>
        <w:numPr>
          <w:ilvl w:val="0"/>
          <w:numId w:val="1"/>
        </w:numPr>
        <w:spacing w:after="0"/>
        <w:jc w:val="both"/>
        <w:rPr>
          <w:rFonts w:ascii="Open Sans" w:hAnsi="Open Sans" w:cs="Open Sans"/>
          <w:sz w:val="22"/>
          <w:szCs w:val="22"/>
        </w:rPr>
      </w:pPr>
      <w:r>
        <w:rPr>
          <w:rFonts w:ascii="Open Sans" w:hAnsi="Open Sans" w:cs="Open Sans"/>
          <w:sz w:val="22"/>
          <w:szCs w:val="22"/>
        </w:rPr>
        <w:t>P</w:t>
      </w:r>
      <w:r w:rsidR="00392EC7">
        <w:rPr>
          <w:rFonts w:ascii="Open Sans" w:hAnsi="Open Sans" w:cs="Open Sans"/>
          <w:sz w:val="22"/>
          <w:szCs w:val="22"/>
        </w:rPr>
        <w:t>os</w:t>
      </w:r>
      <w:r w:rsidR="008455FB">
        <w:rPr>
          <w:rFonts w:ascii="Open Sans" w:hAnsi="Open Sans" w:cs="Open Sans"/>
          <w:sz w:val="22"/>
          <w:szCs w:val="22"/>
        </w:rPr>
        <w:t>t</w:t>
      </w:r>
      <w:r w:rsidR="00392EC7">
        <w:rPr>
          <w:rFonts w:ascii="Open Sans" w:hAnsi="Open Sans" w:cs="Open Sans"/>
          <w:sz w:val="22"/>
          <w:szCs w:val="22"/>
        </w:rPr>
        <w:t xml:space="preserve"> the quarter end P</w:t>
      </w:r>
      <w:r>
        <w:rPr>
          <w:rFonts w:ascii="Open Sans" w:hAnsi="Open Sans" w:cs="Open Sans"/>
          <w:sz w:val="22"/>
          <w:szCs w:val="22"/>
        </w:rPr>
        <w:t>CF Group pl</w:t>
      </w:r>
      <w:r w:rsidR="00CB6233">
        <w:rPr>
          <w:rFonts w:ascii="Open Sans" w:hAnsi="Open Sans" w:cs="Open Sans"/>
          <w:sz w:val="22"/>
          <w:szCs w:val="22"/>
        </w:rPr>
        <w:t>c</w:t>
      </w:r>
      <w:r>
        <w:rPr>
          <w:rFonts w:ascii="Open Sans" w:hAnsi="Open Sans" w:cs="Open Sans"/>
          <w:sz w:val="22"/>
          <w:szCs w:val="22"/>
        </w:rPr>
        <w:t xml:space="preserve"> (“PCF”) shares </w:t>
      </w:r>
      <w:r w:rsidR="00392EC7">
        <w:rPr>
          <w:rFonts w:ascii="Open Sans" w:hAnsi="Open Sans" w:cs="Open Sans"/>
          <w:sz w:val="22"/>
          <w:szCs w:val="22"/>
        </w:rPr>
        <w:t xml:space="preserve">were re-admitted to trading on </w:t>
      </w:r>
      <w:r w:rsidR="008455FB">
        <w:rPr>
          <w:rFonts w:ascii="Open Sans" w:hAnsi="Open Sans" w:cs="Open Sans"/>
          <w:sz w:val="22"/>
          <w:szCs w:val="22"/>
        </w:rPr>
        <w:t>AIM and PCF released its interim results for the six months ended March 31, 2021; and</w:t>
      </w:r>
      <w:r w:rsidR="00D7752C">
        <w:rPr>
          <w:rFonts w:ascii="Open Sans" w:hAnsi="Open Sans" w:cs="Open Sans"/>
          <w:sz w:val="22"/>
          <w:szCs w:val="22"/>
        </w:rPr>
        <w:t xml:space="preserve"> </w:t>
      </w:r>
    </w:p>
    <w:p w14:paraId="035684F6" w14:textId="77777777" w:rsidR="0029102E" w:rsidRPr="00771430" w:rsidRDefault="0029102E" w:rsidP="0029102E">
      <w:pPr>
        <w:spacing w:after="0" w:line="240" w:lineRule="auto"/>
        <w:ind w:left="360"/>
        <w:jc w:val="both"/>
        <w:rPr>
          <w:rFonts w:ascii="Open Sans" w:hAnsi="Open Sans" w:cs="Open Sans"/>
          <w:sz w:val="22"/>
        </w:rPr>
      </w:pPr>
    </w:p>
    <w:p w14:paraId="39D9D96F" w14:textId="5B8C1EC7" w:rsidR="00D7752C" w:rsidRPr="00144679" w:rsidRDefault="00144679" w:rsidP="00D7752C">
      <w:pPr>
        <w:pStyle w:val="ListParagraph"/>
        <w:numPr>
          <w:ilvl w:val="0"/>
          <w:numId w:val="1"/>
        </w:numPr>
        <w:spacing w:after="0"/>
        <w:jc w:val="both"/>
        <w:rPr>
          <w:rFonts w:ascii="Open Sans" w:hAnsi="Open Sans" w:cs="Open Sans"/>
          <w:sz w:val="22"/>
          <w:szCs w:val="22"/>
        </w:rPr>
      </w:pPr>
      <w:r w:rsidRPr="00144679">
        <w:rPr>
          <w:rFonts w:ascii="Open Sans" w:hAnsi="Open Sans" w:cs="Open Sans"/>
          <w:sz w:val="22"/>
        </w:rPr>
        <w:t xml:space="preserve">Thorn </w:t>
      </w:r>
      <w:r>
        <w:rPr>
          <w:rFonts w:ascii="Open Sans" w:hAnsi="Open Sans" w:cs="Open Sans"/>
          <w:sz w:val="22"/>
        </w:rPr>
        <w:t xml:space="preserve">Group Limited (“Thorn”) </w:t>
      </w:r>
      <w:r w:rsidRPr="00144679">
        <w:rPr>
          <w:rFonts w:ascii="Open Sans" w:hAnsi="Open Sans" w:cs="Open Sans"/>
          <w:sz w:val="22"/>
        </w:rPr>
        <w:t xml:space="preserve">announced </w:t>
      </w:r>
      <w:r w:rsidR="009105C2">
        <w:rPr>
          <w:rFonts w:ascii="Open Sans" w:hAnsi="Open Sans" w:cs="Open Sans"/>
          <w:sz w:val="22"/>
        </w:rPr>
        <w:t xml:space="preserve">that it had completed the sale of its Radio Rentals consumer finance business and post the quarter end announced </w:t>
      </w:r>
      <w:r w:rsidR="008455FB">
        <w:rPr>
          <w:rFonts w:ascii="Open Sans" w:hAnsi="Open Sans" w:cs="Open Sans"/>
          <w:sz w:val="22"/>
        </w:rPr>
        <w:t>a special dividend of A$0.07 per share</w:t>
      </w:r>
      <w:r w:rsidRPr="00144679">
        <w:rPr>
          <w:rFonts w:ascii="Open Sans" w:hAnsi="Open Sans" w:cs="Open Sans"/>
          <w:sz w:val="22"/>
        </w:rPr>
        <w:t>.</w:t>
      </w:r>
    </w:p>
    <w:p w14:paraId="669DCC4F" w14:textId="77777777" w:rsidR="00144679" w:rsidRPr="00144679" w:rsidRDefault="00144679" w:rsidP="00144679">
      <w:pPr>
        <w:pStyle w:val="ListParagraph"/>
        <w:rPr>
          <w:rFonts w:ascii="Open Sans" w:hAnsi="Open Sans" w:cs="Open Sans"/>
          <w:sz w:val="22"/>
          <w:szCs w:val="22"/>
        </w:rPr>
      </w:pPr>
    </w:p>
    <w:p w14:paraId="47AD8395" w14:textId="77777777" w:rsidR="00144679" w:rsidRPr="00144679" w:rsidRDefault="00144679" w:rsidP="00144679">
      <w:pPr>
        <w:spacing w:after="0"/>
        <w:ind w:left="360"/>
        <w:jc w:val="both"/>
        <w:rPr>
          <w:rFonts w:ascii="Open Sans" w:hAnsi="Open Sans" w:cs="Open Sans"/>
          <w:sz w:val="22"/>
        </w:rPr>
      </w:pPr>
    </w:p>
    <w:p w14:paraId="4D0B2396" w14:textId="77777777" w:rsidR="008455FB" w:rsidRDefault="008455FB" w:rsidP="00E36E4B">
      <w:pPr>
        <w:spacing w:after="0"/>
        <w:rPr>
          <w:rFonts w:ascii="Open Sans" w:hAnsi="Open Sans" w:cs="Open Sans"/>
          <w:sz w:val="22"/>
        </w:rPr>
      </w:pPr>
    </w:p>
    <w:p w14:paraId="6508F022" w14:textId="3F6118F8" w:rsidR="00E36E4B" w:rsidRPr="00771430" w:rsidRDefault="00E36E4B" w:rsidP="00E36E4B">
      <w:pPr>
        <w:spacing w:after="0"/>
        <w:rPr>
          <w:rFonts w:ascii="Open Sans" w:hAnsi="Open Sans" w:cs="Open Sans"/>
          <w:sz w:val="22"/>
        </w:rPr>
      </w:pPr>
      <w:r w:rsidRPr="00771430">
        <w:rPr>
          <w:rFonts w:ascii="Open Sans" w:hAnsi="Open Sans" w:cs="Open Sans"/>
          <w:sz w:val="22"/>
        </w:rPr>
        <w:t xml:space="preserve">Commenting on the financial results, </w:t>
      </w:r>
      <w:r w:rsidR="00D7752C">
        <w:rPr>
          <w:rFonts w:ascii="Open Sans" w:hAnsi="Open Sans" w:cs="Open Sans"/>
          <w:sz w:val="22"/>
        </w:rPr>
        <w:t>Peter Durhager</w:t>
      </w:r>
      <w:r w:rsidRPr="00771430">
        <w:rPr>
          <w:rFonts w:ascii="Open Sans" w:hAnsi="Open Sans" w:cs="Open Sans"/>
          <w:sz w:val="22"/>
        </w:rPr>
        <w:t>, Chairman of Somers said:</w:t>
      </w:r>
    </w:p>
    <w:p w14:paraId="22F13A9F" w14:textId="77777777" w:rsidR="00E36E4B" w:rsidRPr="00771430" w:rsidRDefault="00E36E4B" w:rsidP="00E36E4B">
      <w:pPr>
        <w:spacing w:after="0"/>
        <w:rPr>
          <w:rFonts w:ascii="Open Sans" w:hAnsi="Open Sans" w:cs="Open Sans"/>
          <w:sz w:val="22"/>
        </w:rPr>
      </w:pPr>
    </w:p>
    <w:p w14:paraId="01EC83E0" w14:textId="77777777" w:rsidR="00D97C3F" w:rsidRDefault="00E36E4B" w:rsidP="00E36E4B">
      <w:pPr>
        <w:spacing w:after="0"/>
        <w:jc w:val="both"/>
        <w:rPr>
          <w:rFonts w:ascii="Open Sans" w:hAnsi="Open Sans" w:cs="Open Sans"/>
          <w:sz w:val="22"/>
        </w:rPr>
      </w:pPr>
      <w:r w:rsidRPr="00771430">
        <w:rPr>
          <w:rFonts w:ascii="Open Sans" w:hAnsi="Open Sans" w:cs="Open Sans"/>
          <w:sz w:val="22"/>
        </w:rPr>
        <w:t>“</w:t>
      </w:r>
      <w:r w:rsidR="008455FB">
        <w:rPr>
          <w:rFonts w:ascii="Open Sans" w:hAnsi="Open Sans" w:cs="Open Sans"/>
          <w:sz w:val="22"/>
        </w:rPr>
        <w:t>The first quarter of the financial year was characteri</w:t>
      </w:r>
      <w:r w:rsidR="00CB39E2">
        <w:rPr>
          <w:rFonts w:ascii="Open Sans" w:hAnsi="Open Sans" w:cs="Open Sans"/>
          <w:sz w:val="22"/>
        </w:rPr>
        <w:t>s</w:t>
      </w:r>
      <w:r w:rsidR="008455FB">
        <w:rPr>
          <w:rFonts w:ascii="Open Sans" w:hAnsi="Open Sans" w:cs="Open Sans"/>
          <w:sz w:val="22"/>
        </w:rPr>
        <w:t xml:space="preserve">ed by volatility </w:t>
      </w:r>
      <w:r w:rsidR="00753AEA">
        <w:rPr>
          <w:rFonts w:ascii="Open Sans" w:hAnsi="Open Sans" w:cs="Open Sans"/>
          <w:sz w:val="22"/>
        </w:rPr>
        <w:t xml:space="preserve">in the stock markets </w:t>
      </w:r>
      <w:r w:rsidR="008455FB">
        <w:rPr>
          <w:rFonts w:ascii="Open Sans" w:hAnsi="Open Sans" w:cs="Open Sans"/>
          <w:sz w:val="22"/>
        </w:rPr>
        <w:t xml:space="preserve">which has noticeably increased into </w:t>
      </w:r>
      <w:r w:rsidR="00753AEA">
        <w:rPr>
          <w:rFonts w:ascii="Open Sans" w:hAnsi="Open Sans" w:cs="Open Sans"/>
          <w:sz w:val="22"/>
        </w:rPr>
        <w:t>2022</w:t>
      </w:r>
      <w:r w:rsidR="008455FB">
        <w:rPr>
          <w:rFonts w:ascii="Open Sans" w:hAnsi="Open Sans" w:cs="Open Sans"/>
          <w:sz w:val="22"/>
        </w:rPr>
        <w:t xml:space="preserve">. </w:t>
      </w:r>
      <w:r w:rsidR="00B01510">
        <w:rPr>
          <w:rFonts w:ascii="Open Sans" w:hAnsi="Open Sans" w:cs="Open Sans"/>
          <w:sz w:val="22"/>
        </w:rPr>
        <w:t xml:space="preserve">Whilst our investee companies continue to perform well the listed share prices </w:t>
      </w:r>
      <w:r w:rsidR="00934479">
        <w:rPr>
          <w:rFonts w:ascii="Open Sans" w:hAnsi="Open Sans" w:cs="Open Sans"/>
          <w:sz w:val="22"/>
        </w:rPr>
        <w:t xml:space="preserve">were under pressure </w:t>
      </w:r>
      <w:r w:rsidR="002548CD">
        <w:rPr>
          <w:rFonts w:ascii="Open Sans" w:hAnsi="Open Sans" w:cs="Open Sans"/>
          <w:sz w:val="22"/>
        </w:rPr>
        <w:t>during the quarter</w:t>
      </w:r>
      <w:r w:rsidR="00753AEA">
        <w:rPr>
          <w:rFonts w:ascii="Open Sans" w:hAnsi="Open Sans" w:cs="Open Sans"/>
          <w:sz w:val="22"/>
        </w:rPr>
        <w:t>. A</w:t>
      </w:r>
      <w:r w:rsidR="00934479">
        <w:rPr>
          <w:rFonts w:ascii="Open Sans" w:hAnsi="Open Sans" w:cs="Open Sans"/>
          <w:sz w:val="22"/>
        </w:rPr>
        <w:t>s a result</w:t>
      </w:r>
      <w:r w:rsidR="0013258A">
        <w:rPr>
          <w:rFonts w:ascii="Open Sans" w:hAnsi="Open Sans" w:cs="Open Sans"/>
          <w:sz w:val="22"/>
        </w:rPr>
        <w:t>,</w:t>
      </w:r>
      <w:r w:rsidR="00934479">
        <w:rPr>
          <w:rFonts w:ascii="Open Sans" w:hAnsi="Open Sans" w:cs="Open Sans"/>
          <w:sz w:val="22"/>
        </w:rPr>
        <w:t xml:space="preserve"> our NAV per share decreased by </w:t>
      </w:r>
      <w:r w:rsidR="00E67E2D">
        <w:rPr>
          <w:rFonts w:ascii="Open Sans" w:hAnsi="Open Sans" w:cs="Open Sans"/>
          <w:sz w:val="22"/>
        </w:rPr>
        <w:t>5.0</w:t>
      </w:r>
      <w:r w:rsidR="00934479">
        <w:rPr>
          <w:rFonts w:ascii="Open Sans" w:hAnsi="Open Sans" w:cs="Open Sans"/>
          <w:sz w:val="22"/>
        </w:rPr>
        <w:t>% to $</w:t>
      </w:r>
      <w:r w:rsidR="00E67E2D">
        <w:rPr>
          <w:rFonts w:ascii="Open Sans" w:hAnsi="Open Sans" w:cs="Open Sans"/>
          <w:sz w:val="22"/>
        </w:rPr>
        <w:t>26.32</w:t>
      </w:r>
      <w:r w:rsidR="00934479">
        <w:rPr>
          <w:rFonts w:ascii="Open Sans" w:hAnsi="Open Sans" w:cs="Open Sans"/>
          <w:sz w:val="22"/>
        </w:rPr>
        <w:t>.</w:t>
      </w:r>
    </w:p>
    <w:p w14:paraId="37E25053" w14:textId="77777777" w:rsidR="00D97C3F" w:rsidRDefault="00D97C3F" w:rsidP="00E36E4B">
      <w:pPr>
        <w:spacing w:after="0"/>
        <w:jc w:val="both"/>
        <w:rPr>
          <w:rFonts w:ascii="Open Sans" w:hAnsi="Open Sans" w:cs="Open Sans"/>
          <w:sz w:val="22"/>
        </w:rPr>
      </w:pPr>
    </w:p>
    <w:p w14:paraId="00304EC2" w14:textId="77777777" w:rsidR="00D97C3F" w:rsidRDefault="00D97C3F" w:rsidP="00D97C3F">
      <w:pPr>
        <w:spacing w:after="0"/>
        <w:jc w:val="both"/>
        <w:rPr>
          <w:rFonts w:ascii="Open Sans" w:hAnsi="Open Sans" w:cs="Open Sans"/>
          <w:sz w:val="22"/>
        </w:rPr>
      </w:pPr>
      <w:r w:rsidRPr="005B0748">
        <w:rPr>
          <w:rFonts w:ascii="Open Sans" w:hAnsi="Open Sans" w:cs="Open Sans"/>
          <w:sz w:val="22"/>
        </w:rPr>
        <w:t xml:space="preserve">As global central banks commence and contemplate raising interest rates in 2022 and remove excessive liquidity from the financial system, combined with Covid-19 transitioning from a pandemic to being endemic, </w:t>
      </w:r>
      <w:r w:rsidRPr="00D97C3F">
        <w:rPr>
          <w:rFonts w:ascii="Open Sans" w:hAnsi="Open Sans" w:cs="Open Sans"/>
          <w:sz w:val="22"/>
        </w:rPr>
        <w:t xml:space="preserve">we believe that </w:t>
      </w:r>
      <w:r w:rsidRPr="005B0748">
        <w:rPr>
          <w:rFonts w:ascii="Open Sans" w:hAnsi="Open Sans" w:cs="Open Sans"/>
          <w:sz w:val="22"/>
        </w:rPr>
        <w:t>bouts of volatility may be more commonplace. However, it is important to note that the business models of our investee companies remain sound, and Somers is well positioned for this environment. The Board remains cautiously optimistic.”</w:t>
      </w:r>
    </w:p>
    <w:p w14:paraId="4DE79577" w14:textId="698BEBCF" w:rsidR="00934479" w:rsidRDefault="002548CD" w:rsidP="00E36E4B">
      <w:pPr>
        <w:spacing w:after="0"/>
        <w:jc w:val="both"/>
        <w:rPr>
          <w:rFonts w:ascii="Open Sans" w:hAnsi="Open Sans" w:cs="Open Sans"/>
          <w:sz w:val="22"/>
        </w:rPr>
      </w:pPr>
      <w:r>
        <w:rPr>
          <w:rFonts w:ascii="Open Sans" w:hAnsi="Open Sans" w:cs="Open Sans"/>
          <w:sz w:val="22"/>
        </w:rPr>
        <w:t xml:space="preserve"> </w:t>
      </w:r>
    </w:p>
    <w:p w14:paraId="51911962" w14:textId="77777777" w:rsidR="00934479" w:rsidRDefault="00934479" w:rsidP="00E36E4B">
      <w:pPr>
        <w:spacing w:after="0"/>
        <w:jc w:val="both"/>
        <w:rPr>
          <w:rFonts w:ascii="Open Sans" w:hAnsi="Open Sans" w:cs="Open Sans"/>
          <w:sz w:val="22"/>
        </w:rPr>
      </w:pPr>
    </w:p>
    <w:p w14:paraId="0BDD7CC4" w14:textId="77777777" w:rsidR="00E36E4B" w:rsidRDefault="00E36E4B" w:rsidP="0029102E">
      <w:pPr>
        <w:spacing w:after="0"/>
        <w:jc w:val="both"/>
        <w:rPr>
          <w:rFonts w:asciiTheme="majorHAnsi" w:hAnsiTheme="majorHAnsi" w:cstheme="majorHAnsi"/>
          <w:szCs w:val="20"/>
        </w:rPr>
      </w:pPr>
    </w:p>
    <w:p w14:paraId="1AA28A7F" w14:textId="77777777" w:rsidR="0029102E" w:rsidRDefault="0029102E" w:rsidP="00490867">
      <w:pPr>
        <w:spacing w:after="0" w:line="240" w:lineRule="auto"/>
        <w:rPr>
          <w:rFonts w:ascii="Open Sans" w:hAnsi="Open Sans" w:cs="Open Sans"/>
          <w:bCs/>
          <w:sz w:val="22"/>
        </w:rPr>
      </w:pPr>
    </w:p>
    <w:p w14:paraId="0DA2628B" w14:textId="77777777" w:rsidR="0029102E" w:rsidRDefault="0029102E" w:rsidP="00490867">
      <w:pPr>
        <w:spacing w:after="0" w:line="240" w:lineRule="auto"/>
        <w:rPr>
          <w:rFonts w:ascii="Open Sans" w:hAnsi="Open Sans" w:cs="Open Sans"/>
          <w:bCs/>
          <w:sz w:val="22"/>
        </w:rPr>
      </w:pPr>
    </w:p>
    <w:p w14:paraId="25D5B889" w14:textId="77777777" w:rsidR="0029102E" w:rsidRDefault="0029102E" w:rsidP="00490867">
      <w:pPr>
        <w:spacing w:after="0" w:line="240" w:lineRule="auto"/>
        <w:rPr>
          <w:rFonts w:ascii="Open Sans" w:hAnsi="Open Sans" w:cs="Open Sans"/>
          <w:bCs/>
          <w:sz w:val="22"/>
        </w:rPr>
      </w:pPr>
    </w:p>
    <w:p w14:paraId="6A41CC65" w14:textId="77777777" w:rsidR="0052626C" w:rsidRPr="00771430" w:rsidRDefault="0052626C" w:rsidP="00771430">
      <w:pPr>
        <w:spacing w:after="0" w:line="240" w:lineRule="auto"/>
        <w:rPr>
          <w:rFonts w:ascii="Open Sans" w:hAnsi="Open Sans" w:cs="Open Sans"/>
          <w:sz w:val="22"/>
        </w:rPr>
      </w:pPr>
    </w:p>
    <w:p w14:paraId="794B1B86" w14:textId="77777777" w:rsidR="008A0C1D" w:rsidRPr="00771430" w:rsidRDefault="008A0C1D" w:rsidP="00771430">
      <w:pPr>
        <w:spacing w:after="0" w:line="240" w:lineRule="auto"/>
        <w:rPr>
          <w:rFonts w:ascii="Open Sans" w:hAnsi="Open Sans" w:cs="Open Sans"/>
          <w:sz w:val="22"/>
        </w:rPr>
      </w:pPr>
    </w:p>
    <w:p w14:paraId="1EA313F0" w14:textId="77777777" w:rsidR="00F47B27" w:rsidRDefault="00F47B27" w:rsidP="00771430">
      <w:pPr>
        <w:spacing w:after="0"/>
        <w:rPr>
          <w:rFonts w:ascii="Open Sans" w:hAnsi="Open Sans" w:cs="Open Sans"/>
          <w:sz w:val="22"/>
        </w:rPr>
      </w:pPr>
    </w:p>
    <w:p w14:paraId="5A1D3F02" w14:textId="77777777" w:rsidR="00F47B27" w:rsidRDefault="00F47B27" w:rsidP="00771430">
      <w:pPr>
        <w:spacing w:after="0"/>
        <w:rPr>
          <w:rFonts w:ascii="Open Sans" w:hAnsi="Open Sans" w:cs="Open Sans"/>
          <w:sz w:val="22"/>
        </w:rPr>
      </w:pPr>
    </w:p>
    <w:p w14:paraId="3DBBBDB1" w14:textId="77777777" w:rsidR="00F47B27" w:rsidRDefault="00F47B27" w:rsidP="00771430">
      <w:pPr>
        <w:spacing w:after="0"/>
        <w:rPr>
          <w:rFonts w:ascii="Open Sans" w:hAnsi="Open Sans" w:cs="Open Sans"/>
          <w:sz w:val="22"/>
        </w:rPr>
      </w:pPr>
    </w:p>
    <w:p w14:paraId="3DE1111B" w14:textId="77777777" w:rsidR="006D08AD" w:rsidRDefault="006D08AD" w:rsidP="00771430">
      <w:pPr>
        <w:spacing w:after="0"/>
        <w:rPr>
          <w:rFonts w:ascii="Open Sans" w:hAnsi="Open Sans" w:cs="Open Sans"/>
          <w:sz w:val="22"/>
        </w:rPr>
      </w:pPr>
    </w:p>
    <w:p w14:paraId="5F3CCAFA" w14:textId="77777777" w:rsidR="006D08AD" w:rsidRDefault="006D08AD" w:rsidP="00771430">
      <w:pPr>
        <w:spacing w:after="0"/>
        <w:rPr>
          <w:rFonts w:ascii="Open Sans" w:hAnsi="Open Sans" w:cs="Open Sans"/>
          <w:sz w:val="22"/>
        </w:rPr>
      </w:pPr>
    </w:p>
    <w:p w14:paraId="2F17A71D" w14:textId="77777777" w:rsidR="00490867" w:rsidRPr="00771430" w:rsidRDefault="00490867" w:rsidP="00771430">
      <w:pPr>
        <w:spacing w:after="0"/>
        <w:rPr>
          <w:rFonts w:ascii="Open Sans" w:hAnsi="Open Sans" w:cs="Open Sans"/>
          <w:sz w:val="22"/>
        </w:rPr>
      </w:pPr>
    </w:p>
    <w:p w14:paraId="022ABA74" w14:textId="77777777" w:rsidR="003409B4" w:rsidRDefault="003409B4">
      <w:pPr>
        <w:spacing w:after="0" w:line="240" w:lineRule="auto"/>
        <w:rPr>
          <w:rFonts w:ascii="Open Sans" w:hAnsi="Open Sans" w:cs="Open Sans"/>
          <w:b/>
          <w:sz w:val="24"/>
          <w:szCs w:val="24"/>
          <w:u w:val="single"/>
        </w:rPr>
      </w:pPr>
      <w:r>
        <w:rPr>
          <w:rFonts w:ascii="Open Sans" w:hAnsi="Open Sans" w:cs="Open Sans"/>
          <w:b/>
          <w:sz w:val="24"/>
          <w:szCs w:val="24"/>
          <w:u w:val="single"/>
        </w:rPr>
        <w:br w:type="page"/>
      </w:r>
    </w:p>
    <w:p w14:paraId="714D132F" w14:textId="4FFFD52B" w:rsidR="0052626C" w:rsidRPr="00771430" w:rsidRDefault="0052626C">
      <w:pPr>
        <w:spacing w:after="0" w:line="240" w:lineRule="auto"/>
        <w:rPr>
          <w:rFonts w:ascii="Open Sans" w:hAnsi="Open Sans" w:cs="Open Sans"/>
          <w:sz w:val="22"/>
        </w:rPr>
      </w:pPr>
      <w:r w:rsidRPr="00771430">
        <w:rPr>
          <w:rFonts w:ascii="Open Sans" w:hAnsi="Open Sans" w:cs="Open Sans"/>
          <w:b/>
          <w:sz w:val="24"/>
          <w:szCs w:val="24"/>
          <w:u w:val="single"/>
        </w:rPr>
        <w:lastRenderedPageBreak/>
        <w:t>Summary of Somers’ results for t</w:t>
      </w:r>
      <w:r w:rsidR="00281D08" w:rsidRPr="00771430">
        <w:rPr>
          <w:rFonts w:ascii="Open Sans" w:hAnsi="Open Sans" w:cs="Open Sans"/>
          <w:b/>
          <w:sz w:val="24"/>
          <w:szCs w:val="24"/>
          <w:u w:val="single"/>
        </w:rPr>
        <w:t xml:space="preserve">he </w:t>
      </w:r>
      <w:r w:rsidR="002A3DE5" w:rsidRPr="00771430">
        <w:rPr>
          <w:rFonts w:ascii="Open Sans" w:hAnsi="Open Sans" w:cs="Open Sans"/>
          <w:b/>
          <w:sz w:val="24"/>
          <w:szCs w:val="24"/>
          <w:u w:val="single"/>
        </w:rPr>
        <w:t xml:space="preserve">quarter ended </w:t>
      </w:r>
      <w:r w:rsidR="002548CD">
        <w:rPr>
          <w:rFonts w:ascii="Open Sans" w:hAnsi="Open Sans" w:cs="Open Sans"/>
          <w:b/>
          <w:sz w:val="24"/>
          <w:szCs w:val="24"/>
          <w:u w:val="single"/>
        </w:rPr>
        <w:t>December 31</w:t>
      </w:r>
      <w:r w:rsidR="00281D08" w:rsidRPr="00771430">
        <w:rPr>
          <w:rFonts w:ascii="Open Sans" w:hAnsi="Open Sans" w:cs="Open Sans"/>
          <w:b/>
          <w:sz w:val="24"/>
          <w:szCs w:val="24"/>
          <w:u w:val="single"/>
        </w:rPr>
        <w:t>, 20</w:t>
      </w:r>
      <w:r w:rsidR="003C6DBF">
        <w:rPr>
          <w:rFonts w:ascii="Open Sans" w:hAnsi="Open Sans" w:cs="Open Sans"/>
          <w:b/>
          <w:sz w:val="24"/>
          <w:szCs w:val="24"/>
          <w:u w:val="single"/>
        </w:rPr>
        <w:t>2</w:t>
      </w:r>
      <w:r w:rsidR="004207D5">
        <w:rPr>
          <w:rFonts w:ascii="Open Sans" w:hAnsi="Open Sans" w:cs="Open Sans"/>
          <w:b/>
          <w:sz w:val="24"/>
          <w:szCs w:val="24"/>
          <w:u w:val="single"/>
        </w:rPr>
        <w:t>1</w:t>
      </w:r>
    </w:p>
    <w:p w14:paraId="34E5D342" w14:textId="77777777" w:rsidR="0052626C" w:rsidRPr="00771430" w:rsidRDefault="0052626C" w:rsidP="00771430">
      <w:pPr>
        <w:spacing w:after="0"/>
        <w:rPr>
          <w:rFonts w:ascii="Open Sans" w:hAnsi="Open Sans" w:cs="Open Sans"/>
          <w:b/>
          <w:sz w:val="22"/>
        </w:rPr>
      </w:pPr>
    </w:p>
    <w:p w14:paraId="6FE65514" w14:textId="77777777" w:rsidR="0052626C" w:rsidRPr="00771430" w:rsidRDefault="0052626C" w:rsidP="00771430">
      <w:pPr>
        <w:spacing w:after="0"/>
        <w:rPr>
          <w:rFonts w:ascii="Open Sans" w:hAnsi="Open Sans" w:cs="Open Sans"/>
          <w:b/>
          <w:sz w:val="22"/>
        </w:rPr>
      </w:pPr>
      <w:r w:rsidRPr="00771430">
        <w:rPr>
          <w:rFonts w:ascii="Open Sans" w:hAnsi="Open Sans" w:cs="Open Sans"/>
          <w:b/>
          <w:sz w:val="22"/>
        </w:rPr>
        <w:t>Introduction</w:t>
      </w:r>
    </w:p>
    <w:p w14:paraId="118DC86E" w14:textId="77777777" w:rsidR="008C6DBA" w:rsidRPr="00771430" w:rsidRDefault="008C6DBA" w:rsidP="00771430">
      <w:pPr>
        <w:autoSpaceDE w:val="0"/>
        <w:autoSpaceDN w:val="0"/>
        <w:adjustRightInd w:val="0"/>
        <w:spacing w:after="0"/>
        <w:rPr>
          <w:rFonts w:ascii="Open Sans" w:eastAsiaTheme="minorHAnsi" w:hAnsi="Open Sans" w:cs="Open Sans"/>
          <w:color w:val="000000"/>
          <w:sz w:val="22"/>
          <w:lang w:val="en-IE"/>
        </w:rPr>
      </w:pPr>
    </w:p>
    <w:p w14:paraId="4369C302" w14:textId="2271F656" w:rsidR="00C93436" w:rsidRDefault="00A92E1D" w:rsidP="007971D5">
      <w:pPr>
        <w:autoSpaceDE w:val="0"/>
        <w:autoSpaceDN w:val="0"/>
        <w:adjustRightInd w:val="0"/>
        <w:spacing w:after="0"/>
        <w:jc w:val="both"/>
        <w:rPr>
          <w:rFonts w:ascii="Open Sans" w:eastAsiaTheme="minorHAnsi" w:hAnsi="Open Sans" w:cs="Open Sans"/>
          <w:color w:val="000000"/>
          <w:sz w:val="22"/>
          <w:lang w:val="en-IE"/>
        </w:rPr>
      </w:pPr>
      <w:bookmarkStart w:id="0" w:name="_Hlk48723908"/>
      <w:bookmarkStart w:id="1" w:name="_Hlk532570910"/>
      <w:r w:rsidRPr="00BA5333">
        <w:rPr>
          <w:rFonts w:ascii="Open Sans" w:eastAsiaTheme="minorHAnsi" w:hAnsi="Open Sans" w:cs="Open Sans"/>
          <w:color w:val="000000"/>
          <w:sz w:val="22"/>
          <w:lang w:val="en-IE"/>
        </w:rPr>
        <w:t>During the quarter</w:t>
      </w:r>
      <w:r w:rsidR="00E84992" w:rsidRPr="00BA5333">
        <w:rPr>
          <w:rFonts w:ascii="Open Sans" w:eastAsiaTheme="minorHAnsi" w:hAnsi="Open Sans" w:cs="Open Sans"/>
          <w:color w:val="000000"/>
          <w:sz w:val="22"/>
          <w:lang w:val="en-IE"/>
        </w:rPr>
        <w:t>,</w:t>
      </w:r>
      <w:r w:rsidRPr="00BA5333">
        <w:rPr>
          <w:rFonts w:ascii="Open Sans" w:eastAsiaTheme="minorHAnsi" w:hAnsi="Open Sans" w:cs="Open Sans"/>
          <w:color w:val="000000"/>
          <w:sz w:val="22"/>
          <w:lang w:val="en-IE"/>
        </w:rPr>
        <w:t xml:space="preserve"> Somers</w:t>
      </w:r>
      <w:r w:rsidR="0013258A">
        <w:rPr>
          <w:rFonts w:ascii="Open Sans" w:eastAsiaTheme="minorHAnsi" w:hAnsi="Open Sans" w:cs="Open Sans"/>
          <w:color w:val="000000"/>
          <w:sz w:val="22"/>
          <w:lang w:val="en-IE"/>
        </w:rPr>
        <w:t xml:space="preserve">’ investment portfolio reduced by </w:t>
      </w:r>
      <w:r w:rsidR="00D16192">
        <w:rPr>
          <w:rFonts w:ascii="Open Sans" w:eastAsiaTheme="minorHAnsi" w:hAnsi="Open Sans" w:cs="Open Sans"/>
          <w:color w:val="000000"/>
          <w:sz w:val="22"/>
          <w:lang w:val="en-IE"/>
        </w:rPr>
        <w:t>3.0</w:t>
      </w:r>
      <w:r w:rsidR="0013258A">
        <w:rPr>
          <w:rFonts w:ascii="Open Sans" w:eastAsiaTheme="minorHAnsi" w:hAnsi="Open Sans" w:cs="Open Sans"/>
          <w:color w:val="000000"/>
          <w:sz w:val="22"/>
          <w:lang w:val="en-IE"/>
        </w:rPr>
        <w:t xml:space="preserve">% owing to stock market volatility and consequently the Company </w:t>
      </w:r>
      <w:r w:rsidRPr="00BA5333">
        <w:rPr>
          <w:rFonts w:ascii="Open Sans" w:eastAsiaTheme="minorHAnsi" w:hAnsi="Open Sans" w:cs="Open Sans"/>
          <w:color w:val="000000"/>
          <w:sz w:val="22"/>
          <w:lang w:val="en-IE"/>
        </w:rPr>
        <w:t>recorded a $</w:t>
      </w:r>
      <w:r w:rsidR="00E67E2D">
        <w:rPr>
          <w:rFonts w:ascii="Open Sans" w:eastAsiaTheme="minorHAnsi" w:hAnsi="Open Sans" w:cs="Open Sans"/>
          <w:color w:val="000000"/>
          <w:sz w:val="22"/>
          <w:lang w:val="en-IE"/>
        </w:rPr>
        <w:t>24.4</w:t>
      </w:r>
      <w:r w:rsidRPr="00BA5333">
        <w:rPr>
          <w:rFonts w:ascii="Open Sans" w:eastAsiaTheme="minorHAnsi" w:hAnsi="Open Sans" w:cs="Open Sans"/>
          <w:color w:val="000000"/>
          <w:sz w:val="22"/>
          <w:lang w:val="en-IE"/>
        </w:rPr>
        <w:t xml:space="preserve"> million </w:t>
      </w:r>
      <w:r w:rsidR="004207D5">
        <w:rPr>
          <w:rFonts w:ascii="Open Sans" w:eastAsiaTheme="minorHAnsi" w:hAnsi="Open Sans" w:cs="Open Sans"/>
          <w:color w:val="000000"/>
          <w:sz w:val="22"/>
          <w:lang w:val="en-IE"/>
        </w:rPr>
        <w:t>loss</w:t>
      </w:r>
      <w:r w:rsidRPr="00BA5333">
        <w:rPr>
          <w:rFonts w:ascii="Open Sans" w:eastAsiaTheme="minorHAnsi" w:hAnsi="Open Sans" w:cs="Open Sans"/>
          <w:color w:val="000000"/>
          <w:sz w:val="22"/>
          <w:lang w:val="en-IE"/>
        </w:rPr>
        <w:t xml:space="preserve"> on its investment portfolio (20</w:t>
      </w:r>
      <w:r w:rsidR="004207D5">
        <w:rPr>
          <w:rFonts w:ascii="Open Sans" w:eastAsiaTheme="minorHAnsi" w:hAnsi="Open Sans" w:cs="Open Sans"/>
          <w:color w:val="000000"/>
          <w:sz w:val="22"/>
          <w:lang w:val="en-IE"/>
        </w:rPr>
        <w:t>20</w:t>
      </w:r>
      <w:r w:rsidRPr="00BA5333">
        <w:rPr>
          <w:rFonts w:ascii="Open Sans" w:eastAsiaTheme="minorHAnsi" w:hAnsi="Open Sans" w:cs="Open Sans"/>
          <w:color w:val="000000"/>
          <w:sz w:val="22"/>
          <w:lang w:val="en-IE"/>
        </w:rPr>
        <w:t xml:space="preserve">: </w:t>
      </w:r>
      <w:r w:rsidR="00C76817">
        <w:rPr>
          <w:rFonts w:ascii="Open Sans" w:eastAsiaTheme="minorHAnsi" w:hAnsi="Open Sans" w:cs="Open Sans"/>
          <w:color w:val="000000"/>
          <w:sz w:val="22"/>
          <w:lang w:val="en-IE"/>
        </w:rPr>
        <w:t xml:space="preserve">gain of </w:t>
      </w:r>
      <w:r w:rsidRPr="00BA5333">
        <w:rPr>
          <w:rFonts w:ascii="Open Sans" w:eastAsiaTheme="minorHAnsi" w:hAnsi="Open Sans" w:cs="Open Sans"/>
          <w:color w:val="000000"/>
          <w:sz w:val="22"/>
          <w:lang w:val="en-IE"/>
        </w:rPr>
        <w:t>$</w:t>
      </w:r>
      <w:r w:rsidR="009105C2">
        <w:rPr>
          <w:rFonts w:ascii="Open Sans" w:eastAsiaTheme="minorHAnsi" w:hAnsi="Open Sans" w:cs="Open Sans"/>
          <w:color w:val="000000"/>
          <w:sz w:val="22"/>
          <w:lang w:val="en-IE"/>
        </w:rPr>
        <w:t>179.9</w:t>
      </w:r>
      <w:r w:rsidRPr="00BA5333">
        <w:rPr>
          <w:rFonts w:ascii="Open Sans" w:eastAsiaTheme="minorHAnsi" w:hAnsi="Open Sans" w:cs="Open Sans"/>
          <w:color w:val="000000"/>
          <w:sz w:val="22"/>
          <w:lang w:val="en-IE"/>
        </w:rPr>
        <w:t xml:space="preserve"> million). </w:t>
      </w:r>
      <w:r w:rsidR="00C93436">
        <w:rPr>
          <w:rFonts w:ascii="Open Sans" w:eastAsiaTheme="minorHAnsi" w:hAnsi="Open Sans" w:cs="Open Sans"/>
          <w:color w:val="000000"/>
          <w:sz w:val="22"/>
          <w:lang w:val="en-IE"/>
        </w:rPr>
        <w:t>This resulted in a net loss in the quarter of $22.5</w:t>
      </w:r>
      <w:r w:rsidR="00C93436" w:rsidRPr="00771430">
        <w:rPr>
          <w:rFonts w:ascii="Open Sans" w:eastAsiaTheme="minorHAnsi" w:hAnsi="Open Sans" w:cs="Open Sans"/>
          <w:color w:val="000000"/>
          <w:sz w:val="22"/>
          <w:lang w:val="en-IE"/>
        </w:rPr>
        <w:t xml:space="preserve"> million (20</w:t>
      </w:r>
      <w:r w:rsidR="00C93436">
        <w:rPr>
          <w:rFonts w:ascii="Open Sans" w:eastAsiaTheme="minorHAnsi" w:hAnsi="Open Sans" w:cs="Open Sans"/>
          <w:color w:val="000000"/>
          <w:sz w:val="22"/>
          <w:lang w:val="en-IE"/>
        </w:rPr>
        <w:t>20</w:t>
      </w:r>
      <w:r w:rsidR="00C93436" w:rsidRPr="00771430">
        <w:rPr>
          <w:rFonts w:ascii="Open Sans" w:eastAsiaTheme="minorHAnsi" w:hAnsi="Open Sans" w:cs="Open Sans"/>
          <w:color w:val="000000"/>
          <w:sz w:val="22"/>
          <w:lang w:val="en-IE"/>
        </w:rPr>
        <w:t xml:space="preserve">: </w:t>
      </w:r>
      <w:r w:rsidR="00C93436">
        <w:rPr>
          <w:rFonts w:ascii="Open Sans" w:eastAsiaTheme="minorHAnsi" w:hAnsi="Open Sans" w:cs="Open Sans"/>
          <w:color w:val="000000"/>
          <w:sz w:val="22"/>
          <w:lang w:val="en-IE"/>
        </w:rPr>
        <w:t>gain of $190.0</w:t>
      </w:r>
      <w:r w:rsidR="00C93436" w:rsidRPr="00771430">
        <w:rPr>
          <w:rFonts w:ascii="Open Sans" w:eastAsiaTheme="minorHAnsi" w:hAnsi="Open Sans" w:cs="Open Sans"/>
          <w:color w:val="000000"/>
          <w:sz w:val="22"/>
          <w:lang w:val="en-IE"/>
        </w:rPr>
        <w:t xml:space="preserve"> million) </w:t>
      </w:r>
      <w:r w:rsidR="00C93436">
        <w:rPr>
          <w:rFonts w:ascii="Open Sans" w:eastAsiaTheme="minorHAnsi" w:hAnsi="Open Sans" w:cs="Open Sans"/>
          <w:color w:val="000000"/>
          <w:sz w:val="22"/>
          <w:lang w:val="en-IE"/>
        </w:rPr>
        <w:t>and the resultant loss</w:t>
      </w:r>
      <w:r w:rsidR="00C93436" w:rsidRPr="00771430">
        <w:rPr>
          <w:rFonts w:ascii="Open Sans" w:eastAsiaTheme="minorHAnsi" w:hAnsi="Open Sans" w:cs="Open Sans"/>
          <w:color w:val="000000"/>
          <w:sz w:val="22"/>
          <w:lang w:val="en-IE"/>
        </w:rPr>
        <w:t xml:space="preserve"> per share was $</w:t>
      </w:r>
      <w:r w:rsidR="00C93436">
        <w:rPr>
          <w:rFonts w:ascii="Open Sans" w:eastAsiaTheme="minorHAnsi" w:hAnsi="Open Sans" w:cs="Open Sans"/>
          <w:color w:val="000000"/>
          <w:sz w:val="22"/>
          <w:lang w:val="en-IE"/>
        </w:rPr>
        <w:t>1.01</w:t>
      </w:r>
      <w:r w:rsidR="00C93436" w:rsidRPr="00771430">
        <w:rPr>
          <w:rFonts w:ascii="Open Sans" w:eastAsiaTheme="minorHAnsi" w:hAnsi="Open Sans" w:cs="Open Sans"/>
          <w:color w:val="000000"/>
          <w:sz w:val="22"/>
          <w:lang w:val="en-IE"/>
        </w:rPr>
        <w:t xml:space="preserve"> (20</w:t>
      </w:r>
      <w:r w:rsidR="00C93436">
        <w:rPr>
          <w:rFonts w:ascii="Open Sans" w:eastAsiaTheme="minorHAnsi" w:hAnsi="Open Sans" w:cs="Open Sans"/>
          <w:color w:val="000000"/>
          <w:sz w:val="22"/>
          <w:lang w:val="en-IE"/>
        </w:rPr>
        <w:t>20</w:t>
      </w:r>
      <w:r w:rsidR="00C93436" w:rsidRPr="00771430">
        <w:rPr>
          <w:rFonts w:ascii="Open Sans" w:eastAsiaTheme="minorHAnsi" w:hAnsi="Open Sans" w:cs="Open Sans"/>
          <w:color w:val="000000"/>
          <w:sz w:val="22"/>
          <w:lang w:val="en-IE"/>
        </w:rPr>
        <w:t xml:space="preserve">: </w:t>
      </w:r>
      <w:r w:rsidR="00C93436">
        <w:rPr>
          <w:rFonts w:ascii="Open Sans" w:eastAsiaTheme="minorHAnsi" w:hAnsi="Open Sans" w:cs="Open Sans"/>
          <w:color w:val="000000"/>
          <w:sz w:val="22"/>
          <w:lang w:val="en-IE"/>
        </w:rPr>
        <w:t xml:space="preserve">earnings per share of </w:t>
      </w:r>
      <w:r w:rsidR="00C93436" w:rsidRPr="0027462D">
        <w:rPr>
          <w:rFonts w:ascii="Open Sans" w:eastAsiaTheme="minorHAnsi" w:hAnsi="Open Sans" w:cs="Open Sans"/>
          <w:color w:val="000000"/>
          <w:sz w:val="22"/>
          <w:lang w:val="en-IE"/>
        </w:rPr>
        <w:t>$</w:t>
      </w:r>
      <w:r w:rsidR="00C93436">
        <w:rPr>
          <w:rFonts w:ascii="Open Sans" w:eastAsiaTheme="minorHAnsi" w:hAnsi="Open Sans" w:cs="Open Sans"/>
          <w:color w:val="000000"/>
          <w:sz w:val="22"/>
          <w:lang w:val="en-IE"/>
        </w:rPr>
        <w:t>8.90</w:t>
      </w:r>
      <w:r w:rsidR="00C93436" w:rsidRPr="0027462D">
        <w:rPr>
          <w:rFonts w:ascii="Open Sans" w:eastAsiaTheme="minorHAnsi" w:hAnsi="Open Sans" w:cs="Open Sans"/>
          <w:color w:val="000000"/>
          <w:sz w:val="22"/>
          <w:lang w:val="en-IE"/>
        </w:rPr>
        <w:t>).</w:t>
      </w:r>
    </w:p>
    <w:p w14:paraId="64857EB7" w14:textId="77777777" w:rsidR="00C93436" w:rsidRDefault="00C93436" w:rsidP="007971D5">
      <w:pPr>
        <w:autoSpaceDE w:val="0"/>
        <w:autoSpaceDN w:val="0"/>
        <w:adjustRightInd w:val="0"/>
        <w:spacing w:after="0"/>
        <w:jc w:val="both"/>
        <w:rPr>
          <w:rFonts w:ascii="Open Sans" w:eastAsiaTheme="minorHAnsi" w:hAnsi="Open Sans" w:cs="Open Sans"/>
          <w:color w:val="000000"/>
          <w:sz w:val="22"/>
          <w:lang w:val="en-IE"/>
        </w:rPr>
      </w:pPr>
    </w:p>
    <w:p w14:paraId="697B1C3F" w14:textId="4B6B0AAD" w:rsidR="007971D5" w:rsidRPr="00771430" w:rsidRDefault="00A92E1D" w:rsidP="007971D5">
      <w:pPr>
        <w:autoSpaceDE w:val="0"/>
        <w:autoSpaceDN w:val="0"/>
        <w:adjustRightInd w:val="0"/>
        <w:spacing w:after="0"/>
        <w:jc w:val="both"/>
        <w:rPr>
          <w:rFonts w:ascii="Open Sans" w:eastAsiaTheme="minorHAnsi" w:hAnsi="Open Sans" w:cs="Open Sans"/>
          <w:color w:val="000000"/>
          <w:sz w:val="22"/>
          <w:lang w:val="en-IE"/>
        </w:rPr>
      </w:pPr>
      <w:r w:rsidRPr="00BA5333">
        <w:rPr>
          <w:rFonts w:ascii="Open Sans" w:eastAsiaTheme="minorHAnsi" w:hAnsi="Open Sans" w:cs="Open Sans"/>
          <w:color w:val="000000"/>
          <w:sz w:val="22"/>
          <w:lang w:val="en-IE"/>
        </w:rPr>
        <w:t xml:space="preserve">The </w:t>
      </w:r>
      <w:r w:rsidR="00BD7DC7">
        <w:rPr>
          <w:rFonts w:ascii="Open Sans" w:eastAsiaTheme="minorHAnsi" w:hAnsi="Open Sans" w:cs="Open Sans"/>
          <w:color w:val="000000"/>
          <w:sz w:val="22"/>
          <w:lang w:val="en-IE"/>
        </w:rPr>
        <w:t xml:space="preserve">unrealised </w:t>
      </w:r>
      <w:r w:rsidR="004207D5">
        <w:rPr>
          <w:rFonts w:ascii="Open Sans" w:eastAsiaTheme="minorHAnsi" w:hAnsi="Open Sans" w:cs="Open Sans"/>
          <w:color w:val="000000"/>
          <w:sz w:val="22"/>
          <w:lang w:val="en-IE"/>
        </w:rPr>
        <w:t>loss</w:t>
      </w:r>
      <w:r w:rsidRPr="00BA5333">
        <w:rPr>
          <w:rFonts w:ascii="Open Sans" w:eastAsiaTheme="minorHAnsi" w:hAnsi="Open Sans" w:cs="Open Sans"/>
          <w:color w:val="000000"/>
          <w:sz w:val="22"/>
          <w:lang w:val="en-IE"/>
        </w:rPr>
        <w:t xml:space="preserve"> was </w:t>
      </w:r>
      <w:r w:rsidR="00940DBD">
        <w:rPr>
          <w:rFonts w:ascii="Open Sans" w:eastAsiaTheme="minorHAnsi" w:hAnsi="Open Sans" w:cs="Open Sans"/>
          <w:color w:val="000000"/>
          <w:sz w:val="22"/>
          <w:lang w:val="en-IE"/>
        </w:rPr>
        <w:t xml:space="preserve">principally </w:t>
      </w:r>
      <w:r w:rsidRPr="00BA5333">
        <w:rPr>
          <w:rFonts w:ascii="Open Sans" w:eastAsiaTheme="minorHAnsi" w:hAnsi="Open Sans" w:cs="Open Sans"/>
          <w:color w:val="000000"/>
          <w:sz w:val="22"/>
          <w:lang w:val="en-IE"/>
        </w:rPr>
        <w:t>due to a</w:t>
      </w:r>
      <w:r w:rsidR="004207D5">
        <w:rPr>
          <w:rFonts w:ascii="Open Sans" w:eastAsiaTheme="minorHAnsi" w:hAnsi="Open Sans" w:cs="Open Sans"/>
          <w:color w:val="000000"/>
          <w:sz w:val="22"/>
          <w:lang w:val="en-IE"/>
        </w:rPr>
        <w:t xml:space="preserve"> decrease</w:t>
      </w:r>
      <w:r w:rsidRPr="00BA5333">
        <w:rPr>
          <w:rFonts w:ascii="Open Sans" w:eastAsiaTheme="minorHAnsi" w:hAnsi="Open Sans" w:cs="Open Sans"/>
          <w:color w:val="000000"/>
          <w:sz w:val="22"/>
          <w:lang w:val="en-IE"/>
        </w:rPr>
        <w:t xml:space="preserve"> in the value of </w:t>
      </w:r>
      <w:r w:rsidR="00940DBD">
        <w:rPr>
          <w:rFonts w:ascii="Open Sans" w:eastAsiaTheme="minorHAnsi" w:hAnsi="Open Sans" w:cs="Open Sans"/>
          <w:color w:val="000000"/>
          <w:sz w:val="22"/>
          <w:lang w:val="en-IE"/>
        </w:rPr>
        <w:t xml:space="preserve">the Company’s </w:t>
      </w:r>
      <w:r w:rsidR="004207D5">
        <w:rPr>
          <w:rFonts w:ascii="Open Sans" w:eastAsiaTheme="minorHAnsi" w:hAnsi="Open Sans" w:cs="Open Sans"/>
          <w:color w:val="000000"/>
          <w:sz w:val="22"/>
          <w:lang w:val="en-IE"/>
        </w:rPr>
        <w:t>largest investment, Resimac</w:t>
      </w:r>
      <w:r w:rsidR="009105C2">
        <w:rPr>
          <w:rFonts w:ascii="Open Sans" w:eastAsiaTheme="minorHAnsi" w:hAnsi="Open Sans" w:cs="Open Sans"/>
          <w:color w:val="000000"/>
          <w:sz w:val="22"/>
          <w:lang w:val="en-IE"/>
        </w:rPr>
        <w:t>,</w:t>
      </w:r>
      <w:r w:rsidR="004207D5">
        <w:rPr>
          <w:rFonts w:ascii="Open Sans" w:eastAsiaTheme="minorHAnsi" w:hAnsi="Open Sans" w:cs="Open Sans"/>
          <w:color w:val="000000"/>
          <w:sz w:val="22"/>
          <w:lang w:val="en-IE"/>
        </w:rPr>
        <w:t xml:space="preserve"> wh</w:t>
      </w:r>
      <w:r w:rsidR="000F17B1">
        <w:rPr>
          <w:rFonts w:ascii="Open Sans" w:eastAsiaTheme="minorHAnsi" w:hAnsi="Open Sans" w:cs="Open Sans"/>
          <w:color w:val="000000"/>
          <w:sz w:val="22"/>
          <w:lang w:val="en-IE"/>
        </w:rPr>
        <w:t>ose</w:t>
      </w:r>
      <w:r w:rsidR="004207D5">
        <w:rPr>
          <w:rFonts w:ascii="Open Sans" w:eastAsiaTheme="minorHAnsi" w:hAnsi="Open Sans" w:cs="Open Sans"/>
          <w:color w:val="000000"/>
          <w:sz w:val="22"/>
          <w:lang w:val="en-IE"/>
        </w:rPr>
        <w:t xml:space="preserve"> share </w:t>
      </w:r>
      <w:r w:rsidR="00940DBD">
        <w:rPr>
          <w:rFonts w:ascii="Open Sans" w:eastAsiaTheme="minorHAnsi" w:hAnsi="Open Sans" w:cs="Open Sans"/>
          <w:color w:val="000000"/>
          <w:sz w:val="22"/>
          <w:lang w:val="en-IE"/>
        </w:rPr>
        <w:t xml:space="preserve">price </w:t>
      </w:r>
      <w:r w:rsidR="004207D5">
        <w:rPr>
          <w:rFonts w:ascii="Open Sans" w:eastAsiaTheme="minorHAnsi" w:hAnsi="Open Sans" w:cs="Open Sans"/>
          <w:color w:val="000000"/>
          <w:sz w:val="22"/>
          <w:lang w:val="en-IE"/>
        </w:rPr>
        <w:t xml:space="preserve">decreased by </w:t>
      </w:r>
      <w:r w:rsidR="009105C2">
        <w:rPr>
          <w:rFonts w:ascii="Open Sans" w:eastAsiaTheme="minorHAnsi" w:hAnsi="Open Sans" w:cs="Open Sans"/>
          <w:color w:val="000000"/>
          <w:sz w:val="22"/>
          <w:lang w:val="en-IE"/>
        </w:rPr>
        <w:t>8.5</w:t>
      </w:r>
      <w:r w:rsidR="00940DBD">
        <w:rPr>
          <w:rFonts w:ascii="Open Sans" w:eastAsiaTheme="minorHAnsi" w:hAnsi="Open Sans" w:cs="Open Sans"/>
          <w:color w:val="000000"/>
          <w:sz w:val="22"/>
          <w:lang w:val="en-IE"/>
        </w:rPr>
        <w:t>%</w:t>
      </w:r>
      <w:r w:rsidR="00F749F4">
        <w:rPr>
          <w:rFonts w:ascii="Open Sans" w:eastAsiaTheme="minorHAnsi" w:hAnsi="Open Sans" w:cs="Open Sans"/>
          <w:color w:val="000000"/>
          <w:sz w:val="22"/>
          <w:lang w:val="en-IE"/>
        </w:rPr>
        <w:t xml:space="preserve"> during the quarter</w:t>
      </w:r>
      <w:r w:rsidR="004207D5">
        <w:rPr>
          <w:rFonts w:ascii="Open Sans" w:eastAsiaTheme="minorHAnsi" w:hAnsi="Open Sans" w:cs="Open Sans"/>
          <w:color w:val="000000"/>
          <w:sz w:val="22"/>
          <w:lang w:val="en-IE"/>
        </w:rPr>
        <w:t xml:space="preserve"> despite </w:t>
      </w:r>
      <w:r w:rsidR="009105C2">
        <w:rPr>
          <w:rFonts w:ascii="Open Sans" w:eastAsiaTheme="minorHAnsi" w:hAnsi="Open Sans" w:cs="Open Sans"/>
          <w:color w:val="000000"/>
          <w:sz w:val="22"/>
          <w:lang w:val="en-IE"/>
        </w:rPr>
        <w:t xml:space="preserve">continuing to report strong underlying performance. </w:t>
      </w:r>
      <w:bookmarkStart w:id="2" w:name="_Hlk532569838"/>
      <w:r w:rsidR="00E67E2D">
        <w:rPr>
          <w:rFonts w:ascii="Open Sans" w:eastAsiaTheme="minorHAnsi" w:hAnsi="Open Sans" w:cs="Open Sans"/>
          <w:color w:val="000000"/>
          <w:sz w:val="22"/>
          <w:lang w:val="en-IE"/>
        </w:rPr>
        <w:t xml:space="preserve">PCF’s </w:t>
      </w:r>
      <w:r w:rsidR="00E67E2D">
        <w:rPr>
          <w:rFonts w:ascii="Open Sans" w:hAnsi="Open Sans" w:cs="Open Sans"/>
          <w:sz w:val="22"/>
        </w:rPr>
        <w:t xml:space="preserve">shares were re-admitted to trading on AIM at the end of January 2022 and the carrying value of these shares </w:t>
      </w:r>
      <w:proofErr w:type="gramStart"/>
      <w:r w:rsidR="00E67E2D">
        <w:rPr>
          <w:rFonts w:ascii="Open Sans" w:hAnsi="Open Sans" w:cs="Open Sans"/>
          <w:sz w:val="22"/>
        </w:rPr>
        <w:t>at</w:t>
      </w:r>
      <w:proofErr w:type="gramEnd"/>
      <w:r w:rsidR="00E67E2D">
        <w:rPr>
          <w:rFonts w:ascii="Open Sans" w:hAnsi="Open Sans" w:cs="Open Sans"/>
          <w:sz w:val="22"/>
        </w:rPr>
        <w:t xml:space="preserve"> December 31, 2021 was set at £0.14 being the average closing value of these shares for the five day period following recommencement of trading. </w:t>
      </w:r>
      <w:r w:rsidR="004207D5">
        <w:rPr>
          <w:rFonts w:ascii="Open Sans" w:eastAsiaTheme="minorHAnsi" w:hAnsi="Open Sans" w:cs="Open Sans"/>
          <w:color w:val="000000"/>
          <w:sz w:val="22"/>
          <w:lang w:val="en-IE"/>
        </w:rPr>
        <w:t>Partially offsetting this were valuation increases at Waverton</w:t>
      </w:r>
      <w:r w:rsidR="009105C2">
        <w:rPr>
          <w:rFonts w:ascii="Open Sans" w:eastAsiaTheme="minorHAnsi" w:hAnsi="Open Sans" w:cs="Open Sans"/>
          <w:color w:val="000000"/>
          <w:sz w:val="22"/>
          <w:lang w:val="en-IE"/>
        </w:rPr>
        <w:t xml:space="preserve">, which is experiencing further FUMA growth </w:t>
      </w:r>
      <w:r w:rsidR="00371B5B">
        <w:rPr>
          <w:rFonts w:ascii="Open Sans" w:eastAsiaTheme="minorHAnsi" w:hAnsi="Open Sans" w:cs="Open Sans"/>
          <w:color w:val="000000"/>
          <w:sz w:val="22"/>
          <w:lang w:val="en-IE"/>
        </w:rPr>
        <w:t>and positive</w:t>
      </w:r>
      <w:r w:rsidR="009105C2">
        <w:rPr>
          <w:rFonts w:ascii="Open Sans" w:eastAsiaTheme="minorHAnsi" w:hAnsi="Open Sans" w:cs="Open Sans"/>
          <w:color w:val="000000"/>
          <w:sz w:val="22"/>
          <w:lang w:val="en-IE"/>
        </w:rPr>
        <w:t xml:space="preserve"> financial performance</w:t>
      </w:r>
      <w:r w:rsidR="00371B5B">
        <w:rPr>
          <w:rFonts w:ascii="Open Sans" w:eastAsiaTheme="minorHAnsi" w:hAnsi="Open Sans" w:cs="Open Sans"/>
          <w:color w:val="000000"/>
          <w:sz w:val="22"/>
          <w:lang w:val="en-IE"/>
        </w:rPr>
        <w:t xml:space="preserve"> </w:t>
      </w:r>
      <w:r w:rsidR="009105C2">
        <w:rPr>
          <w:rFonts w:ascii="Open Sans" w:eastAsiaTheme="minorHAnsi" w:hAnsi="Open Sans" w:cs="Open Sans"/>
          <w:color w:val="000000"/>
          <w:sz w:val="22"/>
          <w:lang w:val="en-IE"/>
        </w:rPr>
        <w:t>and Thorn</w:t>
      </w:r>
      <w:r w:rsidR="00371B5B">
        <w:rPr>
          <w:rFonts w:ascii="Open Sans" w:eastAsiaTheme="minorHAnsi" w:hAnsi="Open Sans" w:cs="Open Sans"/>
          <w:color w:val="000000"/>
          <w:sz w:val="22"/>
          <w:lang w:val="en-IE"/>
        </w:rPr>
        <w:t>,</w:t>
      </w:r>
      <w:r w:rsidR="009105C2">
        <w:rPr>
          <w:rFonts w:ascii="Open Sans" w:eastAsiaTheme="minorHAnsi" w:hAnsi="Open Sans" w:cs="Open Sans"/>
          <w:color w:val="000000"/>
          <w:sz w:val="22"/>
          <w:lang w:val="en-IE"/>
        </w:rPr>
        <w:t xml:space="preserve"> whose share price increased almost 50% during the quarter following the announcement that it had completed the sale of its Radio Rentals consumer finance business. </w:t>
      </w:r>
    </w:p>
    <w:p w14:paraId="4246D3FE" w14:textId="32F79107" w:rsidR="00BA5333" w:rsidRPr="00BA5333" w:rsidRDefault="00BA5333" w:rsidP="00BA5333">
      <w:pPr>
        <w:autoSpaceDE w:val="0"/>
        <w:autoSpaceDN w:val="0"/>
        <w:adjustRightInd w:val="0"/>
        <w:spacing w:after="0"/>
        <w:jc w:val="both"/>
        <w:rPr>
          <w:rFonts w:ascii="Open Sans" w:eastAsiaTheme="minorHAnsi" w:hAnsi="Open Sans" w:cs="Open Sans"/>
          <w:color w:val="000000"/>
          <w:sz w:val="22"/>
          <w:lang w:val="en-IE"/>
        </w:rPr>
      </w:pPr>
    </w:p>
    <w:p w14:paraId="7637EF11" w14:textId="19DA5ED0" w:rsidR="0052626C" w:rsidRDefault="007340BD" w:rsidP="000D3030">
      <w:pPr>
        <w:spacing w:after="0"/>
        <w:jc w:val="both"/>
        <w:rPr>
          <w:rFonts w:ascii="Open Sans" w:eastAsiaTheme="minorHAnsi" w:hAnsi="Open Sans" w:cs="Open Sans"/>
          <w:color w:val="000000"/>
          <w:sz w:val="22"/>
          <w:lang w:val="en-IE"/>
        </w:rPr>
      </w:pPr>
      <w:bookmarkStart w:id="3" w:name="_Hlk48721107"/>
      <w:bookmarkEnd w:id="0"/>
      <w:bookmarkEnd w:id="2"/>
      <w:bookmarkEnd w:id="1"/>
      <w:r w:rsidRPr="00771430">
        <w:rPr>
          <w:rFonts w:ascii="Open Sans" w:eastAsiaTheme="minorHAnsi" w:hAnsi="Open Sans" w:cs="Open Sans"/>
          <w:color w:val="000000"/>
          <w:sz w:val="22"/>
          <w:lang w:val="en-IE"/>
        </w:rPr>
        <w:t xml:space="preserve">Net foreign exchange </w:t>
      </w:r>
      <w:r w:rsidR="00371B5B">
        <w:rPr>
          <w:rFonts w:ascii="Open Sans" w:eastAsiaTheme="minorHAnsi" w:hAnsi="Open Sans" w:cs="Open Sans"/>
          <w:color w:val="000000"/>
          <w:sz w:val="22"/>
          <w:lang w:val="en-IE"/>
        </w:rPr>
        <w:t>gains</w:t>
      </w:r>
      <w:r w:rsidRPr="00771430">
        <w:rPr>
          <w:rFonts w:ascii="Open Sans" w:eastAsiaTheme="minorHAnsi" w:hAnsi="Open Sans" w:cs="Open Sans"/>
          <w:color w:val="000000"/>
          <w:sz w:val="22"/>
          <w:lang w:val="en-IE"/>
        </w:rPr>
        <w:t xml:space="preserve"> were $</w:t>
      </w:r>
      <w:r w:rsidR="00E67E2D">
        <w:rPr>
          <w:rFonts w:ascii="Open Sans" w:eastAsiaTheme="minorHAnsi" w:hAnsi="Open Sans" w:cs="Open Sans"/>
          <w:color w:val="000000"/>
          <w:sz w:val="22"/>
          <w:lang w:val="en-IE"/>
        </w:rPr>
        <w:t>2.5</w:t>
      </w:r>
      <w:r w:rsidRPr="00771430">
        <w:rPr>
          <w:rFonts w:ascii="Open Sans" w:eastAsiaTheme="minorHAnsi" w:hAnsi="Open Sans" w:cs="Open Sans"/>
          <w:color w:val="000000"/>
          <w:sz w:val="22"/>
          <w:lang w:val="en-IE"/>
        </w:rPr>
        <w:t xml:space="preserve"> million for the </w:t>
      </w:r>
      <w:r w:rsidR="00540645" w:rsidRPr="00771430">
        <w:rPr>
          <w:rFonts w:ascii="Open Sans" w:eastAsiaTheme="minorHAnsi" w:hAnsi="Open Sans" w:cs="Open Sans"/>
          <w:color w:val="000000"/>
          <w:sz w:val="22"/>
          <w:lang w:val="en-IE"/>
        </w:rPr>
        <w:t>quarter</w:t>
      </w:r>
      <w:r w:rsidRPr="00771430">
        <w:rPr>
          <w:rFonts w:ascii="Open Sans" w:eastAsiaTheme="minorHAnsi" w:hAnsi="Open Sans" w:cs="Open Sans"/>
          <w:color w:val="000000"/>
          <w:sz w:val="22"/>
          <w:lang w:val="en-IE"/>
        </w:rPr>
        <w:t xml:space="preserve"> (20</w:t>
      </w:r>
      <w:r w:rsidR="000F17B1">
        <w:rPr>
          <w:rFonts w:ascii="Open Sans" w:eastAsiaTheme="minorHAnsi" w:hAnsi="Open Sans" w:cs="Open Sans"/>
          <w:color w:val="000000"/>
          <w:sz w:val="22"/>
          <w:lang w:val="en-IE"/>
        </w:rPr>
        <w:t>20</w:t>
      </w:r>
      <w:r w:rsidRPr="00771430">
        <w:rPr>
          <w:rFonts w:ascii="Open Sans" w:eastAsiaTheme="minorHAnsi" w:hAnsi="Open Sans" w:cs="Open Sans"/>
          <w:color w:val="000000"/>
          <w:sz w:val="22"/>
          <w:lang w:val="en-IE"/>
        </w:rPr>
        <w:t xml:space="preserve">: </w:t>
      </w:r>
      <w:r w:rsidR="00371B5B">
        <w:rPr>
          <w:rFonts w:ascii="Open Sans" w:eastAsiaTheme="minorHAnsi" w:hAnsi="Open Sans" w:cs="Open Sans"/>
          <w:color w:val="000000"/>
          <w:sz w:val="22"/>
          <w:lang w:val="en-IE"/>
        </w:rPr>
        <w:t xml:space="preserve">gain of </w:t>
      </w:r>
      <w:r w:rsidRPr="00771430">
        <w:rPr>
          <w:rFonts w:ascii="Open Sans" w:eastAsiaTheme="minorHAnsi" w:hAnsi="Open Sans" w:cs="Open Sans"/>
          <w:color w:val="000000"/>
          <w:sz w:val="22"/>
          <w:lang w:val="en-IE"/>
        </w:rPr>
        <w:t>$</w:t>
      </w:r>
      <w:r w:rsidR="00371B5B">
        <w:rPr>
          <w:rFonts w:ascii="Open Sans" w:eastAsiaTheme="minorHAnsi" w:hAnsi="Open Sans" w:cs="Open Sans"/>
          <w:color w:val="000000"/>
          <w:sz w:val="22"/>
          <w:lang w:val="en-IE"/>
        </w:rPr>
        <w:t>25.0</w:t>
      </w:r>
      <w:r w:rsidRPr="00771430">
        <w:rPr>
          <w:rFonts w:ascii="Open Sans" w:eastAsiaTheme="minorHAnsi" w:hAnsi="Open Sans" w:cs="Open Sans"/>
          <w:color w:val="000000"/>
          <w:sz w:val="22"/>
          <w:lang w:val="en-IE"/>
        </w:rPr>
        <w:t xml:space="preserve"> million)</w:t>
      </w:r>
      <w:r w:rsidRPr="00771430">
        <w:rPr>
          <w:rFonts w:ascii="Open Sans" w:hAnsi="Open Sans" w:cs="Open Sans"/>
          <w:sz w:val="22"/>
        </w:rPr>
        <w:t xml:space="preserve">. As </w:t>
      </w:r>
      <w:proofErr w:type="gramStart"/>
      <w:r w:rsidRPr="00771430">
        <w:rPr>
          <w:rFonts w:ascii="Open Sans" w:hAnsi="Open Sans" w:cs="Open Sans"/>
          <w:sz w:val="22"/>
        </w:rPr>
        <w:t>at</w:t>
      </w:r>
      <w:proofErr w:type="gramEnd"/>
      <w:r w:rsidRPr="00771430">
        <w:rPr>
          <w:rFonts w:ascii="Open Sans" w:hAnsi="Open Sans" w:cs="Open Sans"/>
          <w:sz w:val="22"/>
        </w:rPr>
        <w:t xml:space="preserve"> </w:t>
      </w:r>
      <w:r w:rsidR="00371B5B">
        <w:rPr>
          <w:rFonts w:ascii="Open Sans" w:hAnsi="Open Sans" w:cs="Open Sans"/>
          <w:sz w:val="22"/>
        </w:rPr>
        <w:t>December 31</w:t>
      </w:r>
      <w:r w:rsidR="008C6DBA" w:rsidRPr="00771430">
        <w:rPr>
          <w:rFonts w:ascii="Open Sans" w:hAnsi="Open Sans" w:cs="Open Sans"/>
          <w:sz w:val="22"/>
        </w:rPr>
        <w:t>, 20</w:t>
      </w:r>
      <w:r w:rsidR="001C5191">
        <w:rPr>
          <w:rFonts w:ascii="Open Sans" w:hAnsi="Open Sans" w:cs="Open Sans"/>
          <w:sz w:val="22"/>
        </w:rPr>
        <w:t>2</w:t>
      </w:r>
      <w:r w:rsidR="000F17B1">
        <w:rPr>
          <w:rFonts w:ascii="Open Sans" w:hAnsi="Open Sans" w:cs="Open Sans"/>
          <w:sz w:val="22"/>
        </w:rPr>
        <w:t>1</w:t>
      </w:r>
      <w:r w:rsidRPr="00771430">
        <w:rPr>
          <w:rFonts w:ascii="Open Sans" w:hAnsi="Open Sans" w:cs="Open Sans"/>
          <w:sz w:val="22"/>
        </w:rPr>
        <w:t xml:space="preserve"> </w:t>
      </w:r>
      <w:r w:rsidR="00E67E2D">
        <w:rPr>
          <w:rFonts w:ascii="Open Sans" w:hAnsi="Open Sans" w:cs="Open Sans"/>
          <w:sz w:val="22"/>
        </w:rPr>
        <w:t>95.7</w:t>
      </w:r>
      <w:r w:rsidRPr="00771430">
        <w:rPr>
          <w:rFonts w:ascii="Open Sans" w:hAnsi="Open Sans" w:cs="Open Sans"/>
          <w:sz w:val="22"/>
        </w:rPr>
        <w:t xml:space="preserve">% of Somers' </w:t>
      </w:r>
      <w:r w:rsidR="00786E49" w:rsidRPr="00771430">
        <w:rPr>
          <w:rFonts w:ascii="Open Sans" w:hAnsi="Open Sans" w:cs="Open Sans"/>
          <w:sz w:val="22"/>
        </w:rPr>
        <w:t xml:space="preserve">investment </w:t>
      </w:r>
      <w:r w:rsidR="00786E49" w:rsidRPr="00427F5F">
        <w:rPr>
          <w:rFonts w:ascii="Open Sans" w:hAnsi="Open Sans" w:cs="Open Sans"/>
          <w:sz w:val="22"/>
        </w:rPr>
        <w:t>portfolio was</w:t>
      </w:r>
      <w:r w:rsidRPr="00427F5F">
        <w:rPr>
          <w:rFonts w:ascii="Open Sans" w:hAnsi="Open Sans" w:cs="Open Sans"/>
          <w:sz w:val="22"/>
        </w:rPr>
        <w:t xml:space="preserve"> exposed to foreign</w:t>
      </w:r>
      <w:r w:rsidRPr="00771430">
        <w:rPr>
          <w:rFonts w:ascii="Open Sans" w:hAnsi="Open Sans" w:cs="Open Sans"/>
          <w:sz w:val="22"/>
        </w:rPr>
        <w:t xml:space="preserve"> currencies, primarily Sterling and the Australian Dollar</w:t>
      </w:r>
      <w:r w:rsidR="001C5191">
        <w:rPr>
          <w:rFonts w:ascii="Open Sans" w:hAnsi="Open Sans" w:cs="Open Sans"/>
          <w:sz w:val="22"/>
        </w:rPr>
        <w:t xml:space="preserve">. Over </w:t>
      </w:r>
      <w:r w:rsidRPr="00771430">
        <w:rPr>
          <w:rFonts w:ascii="Open Sans" w:hAnsi="Open Sans" w:cs="Open Sans"/>
          <w:sz w:val="22"/>
        </w:rPr>
        <w:t xml:space="preserve">the </w:t>
      </w:r>
      <w:r w:rsidRPr="00771430">
        <w:rPr>
          <w:rFonts w:ascii="Open Sans" w:eastAsiaTheme="minorHAnsi" w:hAnsi="Open Sans" w:cs="Open Sans"/>
          <w:color w:val="000000"/>
          <w:sz w:val="22"/>
          <w:lang w:val="en-IE"/>
        </w:rPr>
        <w:t xml:space="preserve">course of the </w:t>
      </w:r>
      <w:r w:rsidR="00786E49" w:rsidRPr="00771430">
        <w:rPr>
          <w:rFonts w:ascii="Open Sans" w:eastAsiaTheme="minorHAnsi" w:hAnsi="Open Sans" w:cs="Open Sans"/>
          <w:color w:val="000000"/>
          <w:sz w:val="22"/>
          <w:lang w:val="en-IE"/>
        </w:rPr>
        <w:t>quarter</w:t>
      </w:r>
      <w:r w:rsidR="003E2E35">
        <w:rPr>
          <w:rFonts w:ascii="Open Sans" w:eastAsiaTheme="minorHAnsi" w:hAnsi="Open Sans" w:cs="Open Sans"/>
          <w:color w:val="000000"/>
          <w:sz w:val="22"/>
          <w:lang w:val="en-IE"/>
        </w:rPr>
        <w:t>,</w:t>
      </w:r>
      <w:r w:rsidRPr="00771430">
        <w:rPr>
          <w:rFonts w:ascii="Open Sans" w:eastAsiaTheme="minorHAnsi" w:hAnsi="Open Sans" w:cs="Open Sans"/>
          <w:color w:val="000000"/>
          <w:sz w:val="22"/>
          <w:lang w:val="en-IE"/>
        </w:rPr>
        <w:t xml:space="preserve"> </w:t>
      </w:r>
      <w:r w:rsidR="00371B5B">
        <w:rPr>
          <w:rFonts w:ascii="Open Sans" w:eastAsiaTheme="minorHAnsi" w:hAnsi="Open Sans" w:cs="Open Sans"/>
          <w:color w:val="000000"/>
          <w:sz w:val="22"/>
          <w:lang w:val="en-IE"/>
        </w:rPr>
        <w:t>both currencies increased in value versus the US Dollar</w:t>
      </w:r>
      <w:r w:rsidR="00E67E2D">
        <w:rPr>
          <w:rFonts w:ascii="Open Sans" w:eastAsiaTheme="minorHAnsi" w:hAnsi="Open Sans" w:cs="Open Sans"/>
          <w:color w:val="000000"/>
          <w:sz w:val="22"/>
          <w:lang w:val="en-IE"/>
        </w:rPr>
        <w:t>,</w:t>
      </w:r>
      <w:r w:rsidR="00371B5B">
        <w:rPr>
          <w:rFonts w:ascii="Open Sans" w:eastAsiaTheme="minorHAnsi" w:hAnsi="Open Sans" w:cs="Open Sans"/>
          <w:color w:val="000000"/>
          <w:sz w:val="22"/>
          <w:lang w:val="en-IE"/>
        </w:rPr>
        <w:t xml:space="preserve"> with </w:t>
      </w:r>
      <w:r w:rsidR="001C5191">
        <w:rPr>
          <w:rFonts w:ascii="Open Sans" w:eastAsiaTheme="minorHAnsi" w:hAnsi="Open Sans" w:cs="Open Sans"/>
          <w:color w:val="000000"/>
          <w:sz w:val="22"/>
          <w:lang w:val="en-IE"/>
        </w:rPr>
        <w:t xml:space="preserve">the Australian Dollar </w:t>
      </w:r>
      <w:r w:rsidR="00371B5B">
        <w:rPr>
          <w:rFonts w:ascii="Open Sans" w:eastAsiaTheme="minorHAnsi" w:hAnsi="Open Sans" w:cs="Open Sans"/>
          <w:color w:val="000000"/>
          <w:sz w:val="22"/>
          <w:lang w:val="en-IE"/>
        </w:rPr>
        <w:t xml:space="preserve">increasing by </w:t>
      </w:r>
      <w:r w:rsidR="00E67E2D">
        <w:rPr>
          <w:rFonts w:ascii="Open Sans" w:eastAsiaTheme="minorHAnsi" w:hAnsi="Open Sans" w:cs="Open Sans"/>
          <w:color w:val="000000"/>
          <w:sz w:val="22"/>
          <w:lang w:val="en-IE"/>
        </w:rPr>
        <w:t>0.6</w:t>
      </w:r>
      <w:r w:rsidR="00371B5B">
        <w:rPr>
          <w:rFonts w:ascii="Open Sans" w:eastAsiaTheme="minorHAnsi" w:hAnsi="Open Sans" w:cs="Open Sans"/>
          <w:color w:val="000000"/>
          <w:sz w:val="22"/>
          <w:lang w:val="en-IE"/>
        </w:rPr>
        <w:t xml:space="preserve">% and </w:t>
      </w:r>
      <w:r w:rsidR="001C5191">
        <w:rPr>
          <w:rFonts w:ascii="Open Sans" w:eastAsiaTheme="minorHAnsi" w:hAnsi="Open Sans" w:cs="Open Sans"/>
          <w:color w:val="000000"/>
          <w:sz w:val="22"/>
          <w:lang w:val="en-IE"/>
        </w:rPr>
        <w:t>Sterling</w:t>
      </w:r>
      <w:r w:rsidR="000F17B1">
        <w:rPr>
          <w:rFonts w:ascii="Open Sans" w:eastAsiaTheme="minorHAnsi" w:hAnsi="Open Sans" w:cs="Open Sans"/>
          <w:color w:val="000000"/>
          <w:sz w:val="22"/>
          <w:lang w:val="en-IE"/>
        </w:rPr>
        <w:t xml:space="preserve"> </w:t>
      </w:r>
      <w:r w:rsidR="00634FA5">
        <w:rPr>
          <w:rFonts w:ascii="Open Sans" w:eastAsiaTheme="minorHAnsi" w:hAnsi="Open Sans" w:cs="Open Sans"/>
          <w:color w:val="000000"/>
          <w:sz w:val="22"/>
          <w:lang w:val="en-IE"/>
        </w:rPr>
        <w:t xml:space="preserve">by </w:t>
      </w:r>
      <w:r w:rsidR="00E67E2D">
        <w:rPr>
          <w:rFonts w:ascii="Open Sans" w:eastAsiaTheme="minorHAnsi" w:hAnsi="Open Sans" w:cs="Open Sans"/>
          <w:color w:val="000000"/>
          <w:sz w:val="22"/>
          <w:lang w:val="en-IE"/>
        </w:rPr>
        <w:t>0.3</w:t>
      </w:r>
      <w:r w:rsidR="00634FA5">
        <w:rPr>
          <w:rFonts w:ascii="Open Sans" w:eastAsiaTheme="minorHAnsi" w:hAnsi="Open Sans" w:cs="Open Sans"/>
          <w:color w:val="000000"/>
          <w:sz w:val="22"/>
          <w:lang w:val="en-IE"/>
        </w:rPr>
        <w:t xml:space="preserve">%. </w:t>
      </w:r>
      <w:bookmarkEnd w:id="3"/>
      <w:r w:rsidRPr="00771430">
        <w:rPr>
          <w:rFonts w:ascii="Open Sans" w:eastAsiaTheme="minorHAnsi" w:hAnsi="Open Sans" w:cs="Open Sans"/>
          <w:color w:val="000000"/>
          <w:sz w:val="22"/>
          <w:lang w:val="en-IE"/>
        </w:rPr>
        <w:t xml:space="preserve">These exchange </w:t>
      </w:r>
      <w:r w:rsidR="00E67E2D">
        <w:rPr>
          <w:rFonts w:ascii="Open Sans" w:eastAsiaTheme="minorHAnsi" w:hAnsi="Open Sans" w:cs="Open Sans"/>
          <w:color w:val="000000"/>
          <w:sz w:val="22"/>
          <w:lang w:val="en-IE"/>
        </w:rPr>
        <w:t>gains</w:t>
      </w:r>
      <w:r w:rsidRPr="00771430">
        <w:rPr>
          <w:rFonts w:ascii="Open Sans" w:eastAsiaTheme="minorHAnsi" w:hAnsi="Open Sans" w:cs="Open Sans"/>
          <w:color w:val="000000"/>
          <w:sz w:val="22"/>
          <w:lang w:val="en-IE"/>
        </w:rPr>
        <w:t xml:space="preserve"> were</w:t>
      </w:r>
      <w:r w:rsidR="009C434B">
        <w:rPr>
          <w:rFonts w:ascii="Open Sans" w:eastAsiaTheme="minorHAnsi" w:hAnsi="Open Sans" w:cs="Open Sans"/>
          <w:color w:val="000000"/>
          <w:sz w:val="22"/>
          <w:lang w:val="en-IE"/>
        </w:rPr>
        <w:t xml:space="preserve"> primarily</w:t>
      </w:r>
      <w:r w:rsidR="008C6DBA" w:rsidRPr="00771430">
        <w:rPr>
          <w:rFonts w:ascii="Open Sans" w:eastAsiaTheme="minorHAnsi" w:hAnsi="Open Sans" w:cs="Open Sans"/>
          <w:color w:val="000000"/>
          <w:sz w:val="22"/>
          <w:lang w:val="en-IE"/>
        </w:rPr>
        <w:t xml:space="preserve"> </w:t>
      </w:r>
      <w:r w:rsidRPr="00771430">
        <w:rPr>
          <w:rFonts w:ascii="Open Sans" w:eastAsiaTheme="minorHAnsi" w:hAnsi="Open Sans" w:cs="Open Sans"/>
          <w:color w:val="000000"/>
          <w:sz w:val="22"/>
          <w:lang w:val="en-IE"/>
        </w:rPr>
        <w:t>unrealised</w:t>
      </w:r>
      <w:r w:rsidR="00A03A9F" w:rsidRPr="00771430">
        <w:rPr>
          <w:rFonts w:ascii="Open Sans" w:eastAsiaTheme="minorHAnsi" w:hAnsi="Open Sans" w:cs="Open Sans"/>
          <w:color w:val="000000"/>
          <w:sz w:val="22"/>
          <w:lang w:val="en-IE"/>
        </w:rPr>
        <w:t>.</w:t>
      </w:r>
    </w:p>
    <w:p w14:paraId="5ADB453A" w14:textId="77777777" w:rsidR="007340BD" w:rsidRPr="00771430" w:rsidRDefault="007340BD" w:rsidP="000D3030">
      <w:pPr>
        <w:spacing w:after="0"/>
        <w:jc w:val="both"/>
        <w:rPr>
          <w:rFonts w:ascii="Open Sans" w:eastAsiaTheme="minorHAnsi" w:hAnsi="Open Sans" w:cs="Open Sans"/>
          <w:color w:val="000000"/>
          <w:sz w:val="22"/>
          <w:lang w:val="en-IE"/>
        </w:rPr>
      </w:pPr>
    </w:p>
    <w:p w14:paraId="28FBAB32" w14:textId="041E6104" w:rsidR="0052626C" w:rsidRDefault="0052626C" w:rsidP="000D3030">
      <w:pPr>
        <w:spacing w:after="0"/>
        <w:jc w:val="both"/>
        <w:rPr>
          <w:rFonts w:ascii="Open Sans" w:hAnsi="Open Sans" w:cs="Open Sans"/>
          <w:sz w:val="22"/>
        </w:rPr>
      </w:pPr>
      <w:r w:rsidRPr="00771430">
        <w:rPr>
          <w:rFonts w:ascii="Open Sans" w:hAnsi="Open Sans" w:cs="Open Sans"/>
          <w:sz w:val="22"/>
        </w:rPr>
        <w:t xml:space="preserve">Somers’ total assets </w:t>
      </w:r>
      <w:r w:rsidR="000F17B1">
        <w:rPr>
          <w:rFonts w:ascii="Open Sans" w:hAnsi="Open Sans" w:cs="Open Sans"/>
          <w:sz w:val="22"/>
        </w:rPr>
        <w:t>decreased</w:t>
      </w:r>
      <w:r w:rsidR="00B21459" w:rsidRPr="00771430">
        <w:rPr>
          <w:rFonts w:ascii="Open Sans" w:hAnsi="Open Sans" w:cs="Open Sans"/>
          <w:sz w:val="22"/>
        </w:rPr>
        <w:t xml:space="preserve"> </w:t>
      </w:r>
      <w:r w:rsidR="00766253">
        <w:rPr>
          <w:rFonts w:ascii="Open Sans" w:hAnsi="Open Sans" w:cs="Open Sans"/>
          <w:sz w:val="22"/>
        </w:rPr>
        <w:t xml:space="preserve">over the quarter </w:t>
      </w:r>
      <w:r w:rsidR="008C6DBA" w:rsidRPr="00771430">
        <w:rPr>
          <w:rFonts w:ascii="Open Sans" w:hAnsi="Open Sans" w:cs="Open Sans"/>
          <w:sz w:val="22"/>
        </w:rPr>
        <w:t>t</w:t>
      </w:r>
      <w:r w:rsidRPr="00771430">
        <w:rPr>
          <w:rFonts w:ascii="Open Sans" w:hAnsi="Open Sans" w:cs="Open Sans"/>
          <w:sz w:val="22"/>
        </w:rPr>
        <w:t>o $</w:t>
      </w:r>
      <w:r w:rsidR="00E67E2D">
        <w:rPr>
          <w:rFonts w:ascii="Open Sans" w:hAnsi="Open Sans" w:cs="Open Sans"/>
          <w:sz w:val="22"/>
        </w:rPr>
        <w:t>694.5</w:t>
      </w:r>
      <w:r w:rsidRPr="00771430">
        <w:rPr>
          <w:rFonts w:ascii="Open Sans" w:hAnsi="Open Sans" w:cs="Open Sans"/>
          <w:sz w:val="22"/>
        </w:rPr>
        <w:t xml:space="preserve"> million (</w:t>
      </w:r>
      <w:r w:rsidR="008C6DBA" w:rsidRPr="00771430">
        <w:rPr>
          <w:rFonts w:ascii="Open Sans" w:hAnsi="Open Sans" w:cs="Open Sans"/>
          <w:sz w:val="22"/>
        </w:rPr>
        <w:t>September 30, 20</w:t>
      </w:r>
      <w:r w:rsidR="00BE69CA">
        <w:rPr>
          <w:rFonts w:ascii="Open Sans" w:hAnsi="Open Sans" w:cs="Open Sans"/>
          <w:sz w:val="22"/>
        </w:rPr>
        <w:t>2</w:t>
      </w:r>
      <w:r w:rsidR="00660328">
        <w:rPr>
          <w:rFonts w:ascii="Open Sans" w:hAnsi="Open Sans" w:cs="Open Sans"/>
          <w:sz w:val="22"/>
        </w:rPr>
        <w:t>1</w:t>
      </w:r>
      <w:r w:rsidRPr="00771430">
        <w:rPr>
          <w:rFonts w:ascii="Open Sans" w:hAnsi="Open Sans" w:cs="Open Sans"/>
          <w:sz w:val="22"/>
        </w:rPr>
        <w:t>: $</w:t>
      </w:r>
      <w:r w:rsidR="00660328">
        <w:rPr>
          <w:rFonts w:ascii="Open Sans" w:hAnsi="Open Sans" w:cs="Open Sans"/>
          <w:sz w:val="22"/>
        </w:rPr>
        <w:t>715.4</w:t>
      </w:r>
      <w:r w:rsidRPr="00771430">
        <w:rPr>
          <w:rFonts w:ascii="Open Sans" w:hAnsi="Open Sans" w:cs="Open Sans"/>
          <w:sz w:val="22"/>
        </w:rPr>
        <w:t xml:space="preserve"> million)</w:t>
      </w:r>
      <w:r w:rsidR="008C6DBA" w:rsidRPr="00771430">
        <w:rPr>
          <w:rFonts w:ascii="Open Sans" w:hAnsi="Open Sans" w:cs="Open Sans"/>
          <w:sz w:val="22"/>
        </w:rPr>
        <w:t xml:space="preserve"> due to the valuation </w:t>
      </w:r>
      <w:r w:rsidR="00BE69CA">
        <w:rPr>
          <w:rFonts w:ascii="Open Sans" w:hAnsi="Open Sans" w:cs="Open Sans"/>
          <w:sz w:val="22"/>
        </w:rPr>
        <w:t>decreases</w:t>
      </w:r>
      <w:r w:rsidR="00583E64">
        <w:rPr>
          <w:rFonts w:ascii="Open Sans" w:hAnsi="Open Sans" w:cs="Open Sans"/>
          <w:sz w:val="22"/>
        </w:rPr>
        <w:t xml:space="preserve"> </w:t>
      </w:r>
      <w:r w:rsidR="008C6DBA" w:rsidRPr="00771430">
        <w:rPr>
          <w:rFonts w:ascii="Open Sans" w:hAnsi="Open Sans" w:cs="Open Sans"/>
          <w:sz w:val="22"/>
        </w:rPr>
        <w:t>and currency movements outlined above</w:t>
      </w:r>
      <w:r w:rsidR="006E21BE" w:rsidRPr="00771430">
        <w:rPr>
          <w:rFonts w:ascii="Open Sans" w:hAnsi="Open Sans" w:cs="Open Sans"/>
          <w:sz w:val="22"/>
        </w:rPr>
        <w:t xml:space="preserve">. </w:t>
      </w:r>
      <w:r w:rsidRPr="00771430">
        <w:rPr>
          <w:rFonts w:ascii="Open Sans" w:hAnsi="Open Sans" w:cs="Open Sans"/>
          <w:sz w:val="22"/>
        </w:rPr>
        <w:t>The investment portfolio was $</w:t>
      </w:r>
      <w:r w:rsidR="00E67E2D">
        <w:rPr>
          <w:rFonts w:ascii="Open Sans" w:hAnsi="Open Sans" w:cs="Open Sans"/>
          <w:sz w:val="22"/>
        </w:rPr>
        <w:t>640.8</w:t>
      </w:r>
      <w:r w:rsidRPr="00771430">
        <w:rPr>
          <w:rFonts w:ascii="Open Sans" w:hAnsi="Open Sans" w:cs="Open Sans"/>
          <w:sz w:val="22"/>
        </w:rPr>
        <w:t xml:space="preserve"> million as </w:t>
      </w:r>
      <w:proofErr w:type="gramStart"/>
      <w:r w:rsidRPr="00771430">
        <w:rPr>
          <w:rFonts w:ascii="Open Sans" w:hAnsi="Open Sans" w:cs="Open Sans"/>
          <w:sz w:val="22"/>
        </w:rPr>
        <w:t>at</w:t>
      </w:r>
      <w:proofErr w:type="gramEnd"/>
      <w:r w:rsidRPr="00771430">
        <w:rPr>
          <w:rFonts w:ascii="Open Sans" w:hAnsi="Open Sans" w:cs="Open Sans"/>
          <w:sz w:val="22"/>
        </w:rPr>
        <w:t xml:space="preserve"> </w:t>
      </w:r>
      <w:r w:rsidR="00660328">
        <w:rPr>
          <w:rFonts w:ascii="Open Sans" w:hAnsi="Open Sans" w:cs="Open Sans"/>
          <w:sz w:val="22"/>
        </w:rPr>
        <w:t>December 31</w:t>
      </w:r>
      <w:r w:rsidRPr="00771430">
        <w:rPr>
          <w:rFonts w:ascii="Open Sans" w:hAnsi="Open Sans" w:cs="Open Sans"/>
          <w:sz w:val="22"/>
        </w:rPr>
        <w:t>, 20</w:t>
      </w:r>
      <w:r w:rsidR="006723BB">
        <w:rPr>
          <w:rFonts w:ascii="Open Sans" w:hAnsi="Open Sans" w:cs="Open Sans"/>
          <w:sz w:val="22"/>
        </w:rPr>
        <w:t>2</w:t>
      </w:r>
      <w:r w:rsidR="00BE69CA">
        <w:rPr>
          <w:rFonts w:ascii="Open Sans" w:hAnsi="Open Sans" w:cs="Open Sans"/>
          <w:sz w:val="22"/>
        </w:rPr>
        <w:t>1</w:t>
      </w:r>
      <w:r w:rsidRPr="00771430">
        <w:rPr>
          <w:rFonts w:ascii="Open Sans" w:hAnsi="Open Sans" w:cs="Open Sans"/>
          <w:sz w:val="22"/>
        </w:rPr>
        <w:t xml:space="preserve"> (</w:t>
      </w:r>
      <w:r w:rsidR="008C6DBA" w:rsidRPr="00771430">
        <w:rPr>
          <w:rFonts w:ascii="Open Sans" w:hAnsi="Open Sans" w:cs="Open Sans"/>
          <w:sz w:val="22"/>
        </w:rPr>
        <w:t xml:space="preserve">September 30, </w:t>
      </w:r>
      <w:r w:rsidRPr="00771430">
        <w:rPr>
          <w:rFonts w:ascii="Open Sans" w:hAnsi="Open Sans" w:cs="Open Sans"/>
          <w:sz w:val="22"/>
        </w:rPr>
        <w:t>20</w:t>
      </w:r>
      <w:r w:rsidR="00BE69CA">
        <w:rPr>
          <w:rFonts w:ascii="Open Sans" w:hAnsi="Open Sans" w:cs="Open Sans"/>
          <w:sz w:val="22"/>
        </w:rPr>
        <w:t>2</w:t>
      </w:r>
      <w:r w:rsidR="00660328">
        <w:rPr>
          <w:rFonts w:ascii="Open Sans" w:hAnsi="Open Sans" w:cs="Open Sans"/>
          <w:sz w:val="22"/>
        </w:rPr>
        <w:t>1</w:t>
      </w:r>
      <w:r w:rsidRPr="00771430">
        <w:rPr>
          <w:rFonts w:ascii="Open Sans" w:hAnsi="Open Sans" w:cs="Open Sans"/>
          <w:sz w:val="22"/>
        </w:rPr>
        <w:t>: $</w:t>
      </w:r>
      <w:r w:rsidR="00660328">
        <w:rPr>
          <w:rFonts w:ascii="Open Sans" w:hAnsi="Open Sans" w:cs="Open Sans"/>
          <w:sz w:val="22"/>
        </w:rPr>
        <w:t>660.7</w:t>
      </w:r>
      <w:r w:rsidR="006E21BE" w:rsidRPr="00771430">
        <w:rPr>
          <w:rFonts w:ascii="Open Sans" w:hAnsi="Open Sans" w:cs="Open Sans"/>
          <w:sz w:val="22"/>
        </w:rPr>
        <w:t xml:space="preserve"> </w:t>
      </w:r>
      <w:r w:rsidRPr="00771430">
        <w:rPr>
          <w:rFonts w:ascii="Open Sans" w:hAnsi="Open Sans" w:cs="Open Sans"/>
          <w:sz w:val="22"/>
        </w:rPr>
        <w:t>million) with equity investments ($</w:t>
      </w:r>
      <w:r w:rsidR="00E67E2D">
        <w:rPr>
          <w:rFonts w:ascii="Open Sans" w:hAnsi="Open Sans" w:cs="Open Sans"/>
          <w:sz w:val="22"/>
        </w:rPr>
        <w:t>632.3</w:t>
      </w:r>
      <w:r w:rsidRPr="00771430">
        <w:rPr>
          <w:rFonts w:ascii="Open Sans" w:hAnsi="Open Sans" w:cs="Open Sans"/>
          <w:sz w:val="22"/>
        </w:rPr>
        <w:t xml:space="preserve"> million) accounting for </w:t>
      </w:r>
      <w:r w:rsidR="00E67E2D">
        <w:rPr>
          <w:rFonts w:ascii="Open Sans" w:hAnsi="Open Sans" w:cs="Open Sans"/>
          <w:sz w:val="22"/>
        </w:rPr>
        <w:t>98.7</w:t>
      </w:r>
      <w:r w:rsidRPr="00771430">
        <w:rPr>
          <w:rFonts w:ascii="Open Sans" w:hAnsi="Open Sans" w:cs="Open Sans"/>
          <w:sz w:val="22"/>
        </w:rPr>
        <w:t xml:space="preserve">% of this total. </w:t>
      </w:r>
      <w:r w:rsidR="002178F4" w:rsidRPr="00771430">
        <w:rPr>
          <w:rFonts w:ascii="Open Sans" w:hAnsi="Open Sans" w:cs="Open Sans"/>
          <w:sz w:val="22"/>
        </w:rPr>
        <w:t xml:space="preserve">The remaining </w:t>
      </w:r>
      <w:r w:rsidR="002178F4">
        <w:rPr>
          <w:rFonts w:ascii="Open Sans" w:hAnsi="Open Sans" w:cs="Open Sans"/>
          <w:sz w:val="22"/>
        </w:rPr>
        <w:t>portfolio investments</w:t>
      </w:r>
      <w:r w:rsidR="002178F4" w:rsidRPr="00771430">
        <w:rPr>
          <w:rFonts w:ascii="Open Sans" w:hAnsi="Open Sans" w:cs="Open Sans"/>
          <w:sz w:val="22"/>
        </w:rPr>
        <w:t xml:space="preserve"> consisted of other financial investments</w:t>
      </w:r>
      <w:r w:rsidR="002178F4">
        <w:rPr>
          <w:rFonts w:ascii="Open Sans" w:hAnsi="Open Sans" w:cs="Open Sans"/>
          <w:sz w:val="22"/>
        </w:rPr>
        <w:t>.</w:t>
      </w:r>
      <w:r w:rsidR="002178F4" w:rsidRPr="00771430">
        <w:rPr>
          <w:rFonts w:ascii="Open Sans" w:hAnsi="Open Sans" w:cs="Open Sans"/>
          <w:sz w:val="22"/>
        </w:rPr>
        <w:t xml:space="preserve"> </w:t>
      </w:r>
      <w:bookmarkStart w:id="4" w:name="_Hlk532206581"/>
      <w:bookmarkStart w:id="5" w:name="_Hlk532570237"/>
      <w:bookmarkStart w:id="6" w:name="_Hlk532569877"/>
      <w:r w:rsidRPr="00771430">
        <w:rPr>
          <w:rFonts w:ascii="Open Sans" w:hAnsi="Open Sans" w:cs="Open Sans"/>
          <w:sz w:val="22"/>
        </w:rPr>
        <w:t xml:space="preserve">Within investments, </w:t>
      </w:r>
      <w:r w:rsidR="001A43BE" w:rsidRPr="00771430">
        <w:rPr>
          <w:rFonts w:ascii="Open Sans" w:hAnsi="Open Sans" w:cs="Open Sans"/>
          <w:sz w:val="22"/>
        </w:rPr>
        <w:t>Resimac</w:t>
      </w:r>
      <w:r w:rsidR="0081637F" w:rsidRPr="00771430">
        <w:rPr>
          <w:rFonts w:ascii="Open Sans" w:hAnsi="Open Sans" w:cs="Open Sans"/>
          <w:sz w:val="22"/>
        </w:rPr>
        <w:t xml:space="preserve"> at $</w:t>
      </w:r>
      <w:r w:rsidR="00E67E2D">
        <w:rPr>
          <w:rFonts w:ascii="Open Sans" w:hAnsi="Open Sans" w:cs="Open Sans"/>
          <w:sz w:val="22"/>
        </w:rPr>
        <w:t>346.1</w:t>
      </w:r>
      <w:r w:rsidR="0081637F" w:rsidRPr="00771430">
        <w:rPr>
          <w:rFonts w:ascii="Open Sans" w:hAnsi="Open Sans" w:cs="Open Sans"/>
          <w:sz w:val="22"/>
        </w:rPr>
        <w:t xml:space="preserve"> million, </w:t>
      </w:r>
      <w:r w:rsidR="00634FA5">
        <w:rPr>
          <w:rFonts w:ascii="Open Sans" w:hAnsi="Open Sans" w:cs="Open Sans"/>
          <w:sz w:val="22"/>
        </w:rPr>
        <w:t>Waverton at $</w:t>
      </w:r>
      <w:r w:rsidR="00E67E2D">
        <w:rPr>
          <w:rFonts w:ascii="Open Sans" w:hAnsi="Open Sans" w:cs="Open Sans"/>
          <w:sz w:val="22"/>
        </w:rPr>
        <w:t>127.9</w:t>
      </w:r>
      <w:r w:rsidR="00634FA5">
        <w:rPr>
          <w:rFonts w:ascii="Open Sans" w:hAnsi="Open Sans" w:cs="Open Sans"/>
          <w:sz w:val="22"/>
        </w:rPr>
        <w:t xml:space="preserve"> million, </w:t>
      </w:r>
      <w:r w:rsidR="001A43BE" w:rsidRPr="00771430">
        <w:rPr>
          <w:rFonts w:ascii="Open Sans" w:hAnsi="Open Sans" w:cs="Open Sans"/>
          <w:sz w:val="22"/>
        </w:rPr>
        <w:t>and</w:t>
      </w:r>
      <w:r w:rsidR="00E67E2D">
        <w:rPr>
          <w:rFonts w:ascii="Open Sans" w:hAnsi="Open Sans" w:cs="Open Sans"/>
          <w:sz w:val="22"/>
        </w:rPr>
        <w:t xml:space="preserve"> Thorn</w:t>
      </w:r>
      <w:r w:rsidR="001A43BE" w:rsidRPr="00771430">
        <w:rPr>
          <w:rFonts w:ascii="Open Sans" w:hAnsi="Open Sans" w:cs="Open Sans"/>
          <w:sz w:val="22"/>
        </w:rPr>
        <w:t xml:space="preserve"> </w:t>
      </w:r>
      <w:r w:rsidR="00742EEA" w:rsidRPr="00771430">
        <w:rPr>
          <w:rFonts w:ascii="Open Sans" w:hAnsi="Open Sans" w:cs="Open Sans"/>
          <w:sz w:val="22"/>
        </w:rPr>
        <w:t xml:space="preserve">at </w:t>
      </w:r>
      <w:r w:rsidR="001A43BE" w:rsidRPr="00771430">
        <w:rPr>
          <w:rFonts w:ascii="Open Sans" w:hAnsi="Open Sans" w:cs="Open Sans"/>
          <w:sz w:val="22"/>
        </w:rPr>
        <w:t>$</w:t>
      </w:r>
      <w:r w:rsidR="00E67E2D">
        <w:rPr>
          <w:rFonts w:ascii="Open Sans" w:hAnsi="Open Sans" w:cs="Open Sans"/>
          <w:sz w:val="22"/>
        </w:rPr>
        <w:t>32.7</w:t>
      </w:r>
      <w:r w:rsidR="001A43BE" w:rsidRPr="00771430">
        <w:rPr>
          <w:rFonts w:ascii="Open Sans" w:hAnsi="Open Sans" w:cs="Open Sans"/>
          <w:sz w:val="22"/>
        </w:rPr>
        <w:t xml:space="preserve"> million</w:t>
      </w:r>
      <w:r w:rsidR="0081637F" w:rsidRPr="00771430">
        <w:rPr>
          <w:rFonts w:ascii="Open Sans" w:hAnsi="Open Sans" w:cs="Open Sans"/>
          <w:sz w:val="22"/>
        </w:rPr>
        <w:t xml:space="preserve"> </w:t>
      </w:r>
      <w:r w:rsidRPr="00771430">
        <w:rPr>
          <w:rFonts w:ascii="Open Sans" w:hAnsi="Open Sans" w:cs="Open Sans"/>
          <w:sz w:val="22"/>
        </w:rPr>
        <w:t xml:space="preserve">together represent </w:t>
      </w:r>
      <w:r w:rsidR="00E67E2D">
        <w:rPr>
          <w:rFonts w:ascii="Open Sans" w:hAnsi="Open Sans" w:cs="Open Sans"/>
          <w:sz w:val="22"/>
        </w:rPr>
        <w:t>79.1</w:t>
      </w:r>
      <w:r w:rsidR="0062243C">
        <w:rPr>
          <w:rFonts w:ascii="Open Sans" w:hAnsi="Open Sans" w:cs="Open Sans"/>
          <w:sz w:val="22"/>
        </w:rPr>
        <w:t>%</w:t>
      </w:r>
      <w:r w:rsidRPr="00771430">
        <w:rPr>
          <w:rFonts w:ascii="Open Sans" w:hAnsi="Open Sans" w:cs="Open Sans"/>
          <w:sz w:val="22"/>
        </w:rPr>
        <w:t xml:space="preserve"> of total investments</w:t>
      </w:r>
      <w:bookmarkEnd w:id="4"/>
      <w:r w:rsidR="00C16196" w:rsidRPr="00771430">
        <w:rPr>
          <w:rFonts w:ascii="Open Sans" w:hAnsi="Open Sans" w:cs="Open Sans"/>
          <w:sz w:val="22"/>
        </w:rPr>
        <w:t>.</w:t>
      </w:r>
      <w:r w:rsidRPr="00771430">
        <w:rPr>
          <w:rFonts w:ascii="Open Sans" w:hAnsi="Open Sans" w:cs="Open Sans"/>
          <w:sz w:val="22"/>
        </w:rPr>
        <w:t xml:space="preserve"> </w:t>
      </w:r>
      <w:bookmarkEnd w:id="5"/>
      <w:r w:rsidR="007971D5">
        <w:rPr>
          <w:rFonts w:ascii="Open Sans" w:eastAsiaTheme="minorHAnsi" w:hAnsi="Open Sans" w:cs="Open Sans"/>
          <w:color w:val="000000"/>
          <w:sz w:val="22"/>
          <w:lang w:val="en-IE"/>
        </w:rPr>
        <w:t>Somers’</w:t>
      </w:r>
      <w:r w:rsidR="007971D5" w:rsidRPr="00771430">
        <w:rPr>
          <w:rFonts w:ascii="Open Sans" w:eastAsiaTheme="minorHAnsi" w:hAnsi="Open Sans" w:cs="Open Sans"/>
          <w:color w:val="000000"/>
          <w:sz w:val="22"/>
          <w:lang w:val="en-IE"/>
        </w:rPr>
        <w:t xml:space="preserve"> net asset value per share ended the quarter at $</w:t>
      </w:r>
      <w:r w:rsidR="00E67E2D">
        <w:rPr>
          <w:rFonts w:ascii="Open Sans" w:eastAsiaTheme="minorHAnsi" w:hAnsi="Open Sans" w:cs="Open Sans"/>
          <w:color w:val="000000"/>
          <w:sz w:val="22"/>
          <w:lang w:val="en-IE"/>
        </w:rPr>
        <w:t>26.32</w:t>
      </w:r>
      <w:r w:rsidR="007971D5" w:rsidRPr="00771430">
        <w:rPr>
          <w:rFonts w:ascii="Open Sans" w:eastAsiaTheme="minorHAnsi" w:hAnsi="Open Sans" w:cs="Open Sans"/>
          <w:color w:val="000000"/>
          <w:sz w:val="22"/>
          <w:lang w:val="en-IE"/>
        </w:rPr>
        <w:t xml:space="preserve"> (September 30, 20</w:t>
      </w:r>
      <w:r w:rsidR="007971D5">
        <w:rPr>
          <w:rFonts w:ascii="Open Sans" w:eastAsiaTheme="minorHAnsi" w:hAnsi="Open Sans" w:cs="Open Sans"/>
          <w:color w:val="000000"/>
          <w:sz w:val="22"/>
          <w:lang w:val="en-IE"/>
        </w:rPr>
        <w:t>2</w:t>
      </w:r>
      <w:r w:rsidR="00D92E32">
        <w:rPr>
          <w:rFonts w:ascii="Open Sans" w:eastAsiaTheme="minorHAnsi" w:hAnsi="Open Sans" w:cs="Open Sans"/>
          <w:color w:val="000000"/>
          <w:sz w:val="22"/>
          <w:lang w:val="en-IE"/>
        </w:rPr>
        <w:t>1</w:t>
      </w:r>
      <w:r w:rsidR="007971D5" w:rsidRPr="00771430">
        <w:rPr>
          <w:rFonts w:ascii="Open Sans" w:eastAsiaTheme="minorHAnsi" w:hAnsi="Open Sans" w:cs="Open Sans"/>
          <w:color w:val="000000"/>
          <w:sz w:val="22"/>
          <w:lang w:val="en-IE"/>
        </w:rPr>
        <w:t>: $</w:t>
      </w:r>
      <w:r w:rsidR="00D92E32">
        <w:rPr>
          <w:rFonts w:ascii="Open Sans" w:eastAsiaTheme="minorHAnsi" w:hAnsi="Open Sans" w:cs="Open Sans"/>
          <w:color w:val="000000"/>
          <w:sz w:val="22"/>
          <w:lang w:val="en-IE"/>
        </w:rPr>
        <w:t>27.70</w:t>
      </w:r>
      <w:r w:rsidR="007971D5" w:rsidRPr="00771430">
        <w:rPr>
          <w:rFonts w:ascii="Open Sans" w:eastAsiaTheme="minorHAnsi" w:hAnsi="Open Sans" w:cs="Open Sans"/>
          <w:color w:val="000000"/>
          <w:sz w:val="22"/>
          <w:lang w:val="en-IE"/>
        </w:rPr>
        <w:t>).</w:t>
      </w:r>
    </w:p>
    <w:p w14:paraId="639BC89B" w14:textId="1915D413" w:rsidR="006D08AD" w:rsidRDefault="006D08AD" w:rsidP="000D3030">
      <w:pPr>
        <w:spacing w:after="0"/>
        <w:jc w:val="both"/>
        <w:rPr>
          <w:rFonts w:ascii="Open Sans" w:hAnsi="Open Sans" w:cs="Open Sans"/>
          <w:sz w:val="22"/>
        </w:rPr>
      </w:pPr>
    </w:p>
    <w:bookmarkEnd w:id="6"/>
    <w:p w14:paraId="05705D84" w14:textId="77777777" w:rsidR="0052626C" w:rsidRPr="00771430" w:rsidRDefault="0052626C" w:rsidP="00771430">
      <w:pPr>
        <w:spacing w:after="0"/>
        <w:rPr>
          <w:rFonts w:ascii="Open Sans" w:hAnsi="Open Sans" w:cs="Open Sans"/>
          <w:b/>
          <w:sz w:val="22"/>
        </w:rPr>
      </w:pPr>
      <w:r w:rsidRPr="00771430">
        <w:rPr>
          <w:rFonts w:ascii="Open Sans" w:hAnsi="Open Sans" w:cs="Open Sans"/>
          <w:b/>
          <w:sz w:val="22"/>
        </w:rPr>
        <w:t>Borrowings</w:t>
      </w:r>
    </w:p>
    <w:p w14:paraId="79749549" w14:textId="77777777" w:rsidR="008C6DBA" w:rsidRPr="00771430" w:rsidRDefault="008C6DBA" w:rsidP="00771430">
      <w:pPr>
        <w:spacing w:after="0"/>
        <w:rPr>
          <w:rFonts w:ascii="Open Sans" w:hAnsi="Open Sans" w:cs="Open Sans"/>
          <w:sz w:val="22"/>
        </w:rPr>
      </w:pPr>
    </w:p>
    <w:p w14:paraId="42C03884" w14:textId="061783D1" w:rsidR="0052626C" w:rsidRDefault="0052626C" w:rsidP="006723BB">
      <w:pPr>
        <w:spacing w:after="0"/>
        <w:jc w:val="both"/>
        <w:rPr>
          <w:rFonts w:ascii="Open Sans" w:hAnsi="Open Sans" w:cs="Open Sans"/>
          <w:sz w:val="22"/>
        </w:rPr>
      </w:pPr>
      <w:r w:rsidRPr="00771430">
        <w:rPr>
          <w:rFonts w:ascii="Open Sans" w:hAnsi="Open Sans" w:cs="Open Sans"/>
          <w:sz w:val="22"/>
        </w:rPr>
        <w:t>Total borrowings</w:t>
      </w:r>
      <w:r w:rsidR="008C6DBA" w:rsidRPr="00771430">
        <w:rPr>
          <w:rFonts w:ascii="Open Sans" w:hAnsi="Open Sans" w:cs="Open Sans"/>
          <w:sz w:val="22"/>
        </w:rPr>
        <w:t xml:space="preserve"> were </w:t>
      </w:r>
      <w:r w:rsidRPr="00771430">
        <w:rPr>
          <w:rFonts w:ascii="Open Sans" w:hAnsi="Open Sans" w:cs="Open Sans"/>
          <w:sz w:val="22"/>
        </w:rPr>
        <w:t>$</w:t>
      </w:r>
      <w:r w:rsidR="00E67E2D">
        <w:rPr>
          <w:rFonts w:ascii="Open Sans" w:hAnsi="Open Sans" w:cs="Open Sans"/>
          <w:sz w:val="22"/>
        </w:rPr>
        <w:t>78.7</w:t>
      </w:r>
      <w:r w:rsidRPr="00771430">
        <w:rPr>
          <w:rFonts w:ascii="Open Sans" w:hAnsi="Open Sans" w:cs="Open Sans"/>
          <w:sz w:val="22"/>
        </w:rPr>
        <w:t xml:space="preserve"> million </w:t>
      </w:r>
      <w:proofErr w:type="gramStart"/>
      <w:r w:rsidRPr="00771430">
        <w:rPr>
          <w:rFonts w:ascii="Open Sans" w:hAnsi="Open Sans" w:cs="Open Sans"/>
          <w:sz w:val="22"/>
        </w:rPr>
        <w:t>at</w:t>
      </w:r>
      <w:proofErr w:type="gramEnd"/>
      <w:r w:rsidRPr="00771430">
        <w:rPr>
          <w:rFonts w:ascii="Open Sans" w:hAnsi="Open Sans" w:cs="Open Sans"/>
          <w:sz w:val="22"/>
        </w:rPr>
        <w:t xml:space="preserve"> </w:t>
      </w:r>
      <w:r w:rsidR="00D92E32">
        <w:rPr>
          <w:rFonts w:ascii="Open Sans" w:hAnsi="Open Sans" w:cs="Open Sans"/>
          <w:sz w:val="22"/>
        </w:rPr>
        <w:t>December 31</w:t>
      </w:r>
      <w:r w:rsidR="006723BB">
        <w:rPr>
          <w:rFonts w:ascii="Open Sans" w:hAnsi="Open Sans" w:cs="Open Sans"/>
          <w:sz w:val="22"/>
        </w:rPr>
        <w:t>, 202</w:t>
      </w:r>
      <w:r w:rsidR="00BE69CA">
        <w:rPr>
          <w:rFonts w:ascii="Open Sans" w:hAnsi="Open Sans" w:cs="Open Sans"/>
          <w:sz w:val="22"/>
        </w:rPr>
        <w:t>1</w:t>
      </w:r>
      <w:r w:rsidR="009A2D4B" w:rsidRPr="00771430">
        <w:rPr>
          <w:rFonts w:ascii="Open Sans" w:hAnsi="Open Sans" w:cs="Open Sans"/>
          <w:sz w:val="22"/>
        </w:rPr>
        <w:t xml:space="preserve"> (September 30, 20</w:t>
      </w:r>
      <w:r w:rsidR="00BE69CA">
        <w:rPr>
          <w:rFonts w:ascii="Open Sans" w:hAnsi="Open Sans" w:cs="Open Sans"/>
          <w:sz w:val="22"/>
        </w:rPr>
        <w:t>2</w:t>
      </w:r>
      <w:r w:rsidR="00D92E32">
        <w:rPr>
          <w:rFonts w:ascii="Open Sans" w:hAnsi="Open Sans" w:cs="Open Sans"/>
          <w:sz w:val="22"/>
        </w:rPr>
        <w:t>1</w:t>
      </w:r>
      <w:r w:rsidR="009A2D4B" w:rsidRPr="00771430">
        <w:rPr>
          <w:rFonts w:ascii="Open Sans" w:hAnsi="Open Sans" w:cs="Open Sans"/>
          <w:sz w:val="22"/>
        </w:rPr>
        <w:t>: $</w:t>
      </w:r>
      <w:r w:rsidR="00BE69CA">
        <w:rPr>
          <w:rFonts w:ascii="Open Sans" w:hAnsi="Open Sans" w:cs="Open Sans"/>
          <w:sz w:val="22"/>
        </w:rPr>
        <w:t>7</w:t>
      </w:r>
      <w:r w:rsidR="00D92E32">
        <w:rPr>
          <w:rFonts w:ascii="Open Sans" w:hAnsi="Open Sans" w:cs="Open Sans"/>
          <w:sz w:val="22"/>
        </w:rPr>
        <w:t>7.1</w:t>
      </w:r>
      <w:r w:rsidR="009A2D4B" w:rsidRPr="00771430">
        <w:rPr>
          <w:rFonts w:ascii="Open Sans" w:hAnsi="Open Sans" w:cs="Open Sans"/>
          <w:sz w:val="22"/>
        </w:rPr>
        <w:t xml:space="preserve"> million)</w:t>
      </w:r>
      <w:r w:rsidR="00D92E32">
        <w:rPr>
          <w:rFonts w:ascii="Open Sans" w:hAnsi="Open Sans" w:cs="Open Sans"/>
          <w:sz w:val="22"/>
        </w:rPr>
        <w:t xml:space="preserve"> with a slight increase in the level of gearing to </w:t>
      </w:r>
      <w:r w:rsidR="00E67E2D">
        <w:rPr>
          <w:rFonts w:ascii="Open Sans" w:hAnsi="Open Sans" w:cs="Open Sans"/>
          <w:sz w:val="22"/>
        </w:rPr>
        <w:t>1</w:t>
      </w:r>
      <w:r w:rsidR="00623DA4">
        <w:rPr>
          <w:rFonts w:ascii="Open Sans" w:hAnsi="Open Sans" w:cs="Open Sans"/>
          <w:sz w:val="22"/>
        </w:rPr>
        <w:t>4</w:t>
      </w:r>
      <w:r w:rsidR="00E67E2D">
        <w:rPr>
          <w:rFonts w:ascii="Open Sans" w:hAnsi="Open Sans" w:cs="Open Sans"/>
          <w:sz w:val="22"/>
        </w:rPr>
        <w:t>.</w:t>
      </w:r>
      <w:r w:rsidR="00623DA4">
        <w:rPr>
          <w:rFonts w:ascii="Open Sans" w:hAnsi="Open Sans" w:cs="Open Sans"/>
          <w:sz w:val="22"/>
        </w:rPr>
        <w:t>2</w:t>
      </w:r>
      <w:r w:rsidR="00D92E32">
        <w:rPr>
          <w:rFonts w:ascii="Open Sans" w:hAnsi="Open Sans" w:cs="Open Sans"/>
          <w:sz w:val="22"/>
        </w:rPr>
        <w:t>% (September 30, 2021: 1</w:t>
      </w:r>
      <w:r w:rsidR="00623DA4">
        <w:rPr>
          <w:rFonts w:ascii="Open Sans" w:hAnsi="Open Sans" w:cs="Open Sans"/>
          <w:sz w:val="22"/>
        </w:rPr>
        <w:t>3</w:t>
      </w:r>
      <w:r w:rsidR="00D92E32">
        <w:rPr>
          <w:rFonts w:ascii="Open Sans" w:hAnsi="Open Sans" w:cs="Open Sans"/>
          <w:sz w:val="22"/>
        </w:rPr>
        <w:t>.</w:t>
      </w:r>
      <w:r w:rsidR="00623DA4">
        <w:rPr>
          <w:rFonts w:ascii="Open Sans" w:hAnsi="Open Sans" w:cs="Open Sans"/>
          <w:sz w:val="22"/>
        </w:rPr>
        <w:t>1</w:t>
      </w:r>
      <w:r w:rsidR="00D92E32">
        <w:rPr>
          <w:rFonts w:ascii="Open Sans" w:hAnsi="Open Sans" w:cs="Open Sans"/>
          <w:sz w:val="22"/>
        </w:rPr>
        <w:t>%).</w:t>
      </w:r>
    </w:p>
    <w:p w14:paraId="78C17DA6" w14:textId="31FE4829" w:rsidR="00D16192" w:rsidRDefault="00D16192" w:rsidP="006723BB">
      <w:pPr>
        <w:spacing w:after="0"/>
        <w:jc w:val="both"/>
        <w:rPr>
          <w:rFonts w:ascii="Open Sans" w:hAnsi="Open Sans" w:cs="Open Sans"/>
          <w:sz w:val="22"/>
        </w:rPr>
      </w:pPr>
    </w:p>
    <w:p w14:paraId="0323144E" w14:textId="77777777" w:rsidR="00D16192" w:rsidRDefault="00D16192" w:rsidP="006723BB">
      <w:pPr>
        <w:spacing w:after="0"/>
        <w:jc w:val="both"/>
        <w:rPr>
          <w:rFonts w:ascii="Open Sans" w:hAnsi="Open Sans" w:cs="Open Sans"/>
          <w:sz w:val="22"/>
        </w:rPr>
      </w:pPr>
    </w:p>
    <w:p w14:paraId="4733D959" w14:textId="77777777" w:rsidR="007075CB" w:rsidRDefault="007075CB" w:rsidP="00771430">
      <w:pPr>
        <w:spacing w:after="0"/>
        <w:rPr>
          <w:rFonts w:ascii="Open Sans" w:hAnsi="Open Sans" w:cs="Open Sans"/>
          <w:b/>
          <w:sz w:val="22"/>
        </w:rPr>
      </w:pPr>
    </w:p>
    <w:p w14:paraId="67A5B8A0" w14:textId="20430C19" w:rsidR="0052626C" w:rsidRPr="00771430" w:rsidRDefault="0052626C" w:rsidP="00771430">
      <w:pPr>
        <w:spacing w:after="0"/>
        <w:rPr>
          <w:rFonts w:ascii="Open Sans" w:hAnsi="Open Sans" w:cs="Open Sans"/>
          <w:b/>
          <w:sz w:val="22"/>
        </w:rPr>
      </w:pPr>
      <w:r w:rsidRPr="00771430">
        <w:rPr>
          <w:rFonts w:ascii="Open Sans" w:hAnsi="Open Sans" w:cs="Open Sans"/>
          <w:b/>
          <w:sz w:val="22"/>
        </w:rPr>
        <w:lastRenderedPageBreak/>
        <w:t>Shareholders’ Equity</w:t>
      </w:r>
    </w:p>
    <w:p w14:paraId="1644A327" w14:textId="77777777" w:rsidR="008C6DBA" w:rsidRPr="00771430" w:rsidRDefault="008C6DBA" w:rsidP="00771430">
      <w:pPr>
        <w:spacing w:after="0"/>
        <w:rPr>
          <w:rFonts w:ascii="Open Sans" w:hAnsi="Open Sans" w:cs="Open Sans"/>
          <w:sz w:val="22"/>
        </w:rPr>
      </w:pPr>
      <w:bookmarkStart w:id="7" w:name="_Hlk532206777"/>
    </w:p>
    <w:p w14:paraId="278B6B16" w14:textId="6013536B" w:rsidR="00BE69CA" w:rsidRDefault="003C3792" w:rsidP="0064579E">
      <w:pPr>
        <w:spacing w:after="0"/>
        <w:jc w:val="both"/>
        <w:rPr>
          <w:rFonts w:ascii="Open Sans" w:hAnsi="Open Sans" w:cs="Open Sans"/>
          <w:sz w:val="22"/>
        </w:rPr>
      </w:pPr>
      <w:r w:rsidRPr="00771430">
        <w:rPr>
          <w:rFonts w:ascii="Open Sans" w:hAnsi="Open Sans" w:cs="Open Sans"/>
          <w:sz w:val="22"/>
        </w:rPr>
        <w:t xml:space="preserve">Shareholders’ equity </w:t>
      </w:r>
      <w:r w:rsidR="00BE69CA">
        <w:rPr>
          <w:rFonts w:ascii="Open Sans" w:hAnsi="Open Sans" w:cs="Open Sans"/>
          <w:sz w:val="22"/>
        </w:rPr>
        <w:t>was</w:t>
      </w:r>
      <w:r w:rsidR="00CA47C6" w:rsidRPr="00771430">
        <w:rPr>
          <w:rFonts w:ascii="Open Sans" w:hAnsi="Open Sans" w:cs="Open Sans"/>
          <w:sz w:val="22"/>
        </w:rPr>
        <w:t xml:space="preserve"> </w:t>
      </w:r>
      <w:r w:rsidRPr="00771430">
        <w:rPr>
          <w:rFonts w:ascii="Open Sans" w:hAnsi="Open Sans" w:cs="Open Sans"/>
          <w:sz w:val="22"/>
        </w:rPr>
        <w:t>$</w:t>
      </w:r>
      <w:r w:rsidR="00E67E2D">
        <w:rPr>
          <w:rFonts w:ascii="Open Sans" w:hAnsi="Open Sans" w:cs="Open Sans"/>
          <w:sz w:val="22"/>
        </w:rPr>
        <w:t>586.5</w:t>
      </w:r>
      <w:r w:rsidRPr="00771430">
        <w:rPr>
          <w:rFonts w:ascii="Open Sans" w:hAnsi="Open Sans" w:cs="Open Sans"/>
          <w:sz w:val="22"/>
        </w:rPr>
        <w:t xml:space="preserve"> million</w:t>
      </w:r>
      <w:r w:rsidR="00F73E7D" w:rsidRPr="00771430">
        <w:rPr>
          <w:rFonts w:ascii="Open Sans" w:hAnsi="Open Sans" w:cs="Open Sans"/>
          <w:sz w:val="22"/>
        </w:rPr>
        <w:t xml:space="preserve"> as </w:t>
      </w:r>
      <w:proofErr w:type="gramStart"/>
      <w:r w:rsidR="00F73E7D" w:rsidRPr="00771430">
        <w:rPr>
          <w:rFonts w:ascii="Open Sans" w:hAnsi="Open Sans" w:cs="Open Sans"/>
          <w:sz w:val="22"/>
        </w:rPr>
        <w:t>at</w:t>
      </w:r>
      <w:proofErr w:type="gramEnd"/>
      <w:r w:rsidR="00F73E7D" w:rsidRPr="00771430">
        <w:rPr>
          <w:rFonts w:ascii="Open Sans" w:hAnsi="Open Sans" w:cs="Open Sans"/>
          <w:sz w:val="22"/>
        </w:rPr>
        <w:t xml:space="preserve"> </w:t>
      </w:r>
      <w:r w:rsidR="00D92E32">
        <w:rPr>
          <w:rFonts w:ascii="Open Sans" w:hAnsi="Open Sans" w:cs="Open Sans"/>
          <w:sz w:val="22"/>
        </w:rPr>
        <w:t>December 31</w:t>
      </w:r>
      <w:r w:rsidR="006723BB">
        <w:rPr>
          <w:rFonts w:ascii="Open Sans" w:hAnsi="Open Sans" w:cs="Open Sans"/>
          <w:sz w:val="22"/>
        </w:rPr>
        <w:t>, 202</w:t>
      </w:r>
      <w:r w:rsidR="00BE69CA">
        <w:rPr>
          <w:rFonts w:ascii="Open Sans" w:hAnsi="Open Sans" w:cs="Open Sans"/>
          <w:sz w:val="22"/>
        </w:rPr>
        <w:t>1</w:t>
      </w:r>
      <w:r w:rsidRPr="00771430">
        <w:rPr>
          <w:rFonts w:ascii="Open Sans" w:hAnsi="Open Sans" w:cs="Open Sans"/>
          <w:sz w:val="22"/>
        </w:rPr>
        <w:t xml:space="preserve"> (</w:t>
      </w:r>
      <w:r w:rsidR="00307334" w:rsidRPr="00771430">
        <w:rPr>
          <w:rFonts w:ascii="Open Sans" w:hAnsi="Open Sans" w:cs="Open Sans"/>
          <w:sz w:val="22"/>
        </w:rPr>
        <w:t xml:space="preserve">September 30, </w:t>
      </w:r>
      <w:r w:rsidRPr="00771430">
        <w:rPr>
          <w:rFonts w:ascii="Open Sans" w:hAnsi="Open Sans" w:cs="Open Sans"/>
          <w:sz w:val="22"/>
        </w:rPr>
        <w:t>20</w:t>
      </w:r>
      <w:r w:rsidR="00BE69CA">
        <w:rPr>
          <w:rFonts w:ascii="Open Sans" w:hAnsi="Open Sans" w:cs="Open Sans"/>
          <w:sz w:val="22"/>
        </w:rPr>
        <w:t>2</w:t>
      </w:r>
      <w:r w:rsidR="00D92E32">
        <w:rPr>
          <w:rFonts w:ascii="Open Sans" w:hAnsi="Open Sans" w:cs="Open Sans"/>
          <w:sz w:val="22"/>
        </w:rPr>
        <w:t>1</w:t>
      </w:r>
      <w:r w:rsidRPr="00771430">
        <w:rPr>
          <w:rFonts w:ascii="Open Sans" w:hAnsi="Open Sans" w:cs="Open Sans"/>
          <w:sz w:val="22"/>
        </w:rPr>
        <w:t>: $</w:t>
      </w:r>
      <w:r w:rsidR="00D92E32">
        <w:rPr>
          <w:rFonts w:ascii="Open Sans" w:hAnsi="Open Sans" w:cs="Open Sans"/>
          <w:sz w:val="22"/>
        </w:rPr>
        <w:t>617.8</w:t>
      </w:r>
      <w:r w:rsidR="00307334" w:rsidRPr="00771430">
        <w:rPr>
          <w:rFonts w:ascii="Open Sans" w:hAnsi="Open Sans" w:cs="Open Sans"/>
          <w:sz w:val="22"/>
        </w:rPr>
        <w:t xml:space="preserve"> </w:t>
      </w:r>
      <w:r w:rsidRPr="00771430">
        <w:rPr>
          <w:rFonts w:ascii="Open Sans" w:hAnsi="Open Sans" w:cs="Open Sans"/>
          <w:sz w:val="22"/>
        </w:rPr>
        <w:t>million)</w:t>
      </w:r>
      <w:r w:rsidR="00F73E7D" w:rsidRPr="00771430">
        <w:rPr>
          <w:rFonts w:ascii="Open Sans" w:hAnsi="Open Sans" w:cs="Open Sans"/>
          <w:sz w:val="22"/>
        </w:rPr>
        <w:t>.</w:t>
      </w:r>
      <w:r w:rsidRPr="00771430">
        <w:rPr>
          <w:rFonts w:ascii="Open Sans" w:hAnsi="Open Sans" w:cs="Open Sans"/>
          <w:sz w:val="22"/>
        </w:rPr>
        <w:t xml:space="preserve"> </w:t>
      </w:r>
      <w:r w:rsidR="006A4EC7">
        <w:rPr>
          <w:rFonts w:ascii="Open Sans" w:hAnsi="Open Sans" w:cs="Open Sans"/>
          <w:sz w:val="22"/>
        </w:rPr>
        <w:t xml:space="preserve">Somers </w:t>
      </w:r>
      <w:r w:rsidR="00634FA5">
        <w:rPr>
          <w:rFonts w:ascii="Open Sans" w:hAnsi="Open Sans" w:cs="Open Sans"/>
          <w:sz w:val="22"/>
        </w:rPr>
        <w:t xml:space="preserve">bought back </w:t>
      </w:r>
      <w:r w:rsidR="00E67E2D">
        <w:rPr>
          <w:rFonts w:ascii="Open Sans" w:hAnsi="Open Sans" w:cs="Open Sans"/>
          <w:sz w:val="22"/>
        </w:rPr>
        <w:t>18,393</w:t>
      </w:r>
      <w:r w:rsidR="00634FA5">
        <w:rPr>
          <w:rFonts w:ascii="Open Sans" w:hAnsi="Open Sans" w:cs="Open Sans"/>
          <w:sz w:val="22"/>
        </w:rPr>
        <w:t xml:space="preserve"> shares at an average price of $</w:t>
      </w:r>
      <w:r w:rsidR="00E67E2D">
        <w:rPr>
          <w:rFonts w:ascii="Open Sans" w:hAnsi="Open Sans" w:cs="Open Sans"/>
          <w:sz w:val="22"/>
        </w:rPr>
        <w:t>19.00</w:t>
      </w:r>
      <w:r w:rsidR="00634FA5">
        <w:rPr>
          <w:rFonts w:ascii="Open Sans" w:hAnsi="Open Sans" w:cs="Open Sans"/>
          <w:sz w:val="22"/>
        </w:rPr>
        <w:t xml:space="preserve"> per share </w:t>
      </w:r>
      <w:r w:rsidR="006A4EC7">
        <w:rPr>
          <w:rFonts w:ascii="Open Sans" w:hAnsi="Open Sans" w:cs="Open Sans"/>
          <w:sz w:val="22"/>
        </w:rPr>
        <w:t>d</w:t>
      </w:r>
      <w:r w:rsidR="00F73E7D" w:rsidRPr="00771430">
        <w:rPr>
          <w:rFonts w:ascii="Open Sans" w:hAnsi="Open Sans" w:cs="Open Sans"/>
          <w:sz w:val="22"/>
        </w:rPr>
        <w:t xml:space="preserve">uring the </w:t>
      </w:r>
      <w:r w:rsidR="00E67E2D">
        <w:rPr>
          <w:rFonts w:ascii="Open Sans" w:hAnsi="Open Sans" w:cs="Open Sans"/>
          <w:sz w:val="22"/>
        </w:rPr>
        <w:t>December</w:t>
      </w:r>
      <w:r w:rsidR="00634FA5">
        <w:rPr>
          <w:rFonts w:ascii="Open Sans" w:hAnsi="Open Sans" w:cs="Open Sans"/>
          <w:sz w:val="22"/>
        </w:rPr>
        <w:t xml:space="preserve"> </w:t>
      </w:r>
      <w:r w:rsidR="00307334" w:rsidRPr="00771430">
        <w:rPr>
          <w:rFonts w:ascii="Open Sans" w:hAnsi="Open Sans" w:cs="Open Sans"/>
          <w:sz w:val="22"/>
        </w:rPr>
        <w:t xml:space="preserve">quarter and the number of shares in issue as </w:t>
      </w:r>
      <w:proofErr w:type="gramStart"/>
      <w:r w:rsidR="00307334" w:rsidRPr="00771430">
        <w:rPr>
          <w:rFonts w:ascii="Open Sans" w:hAnsi="Open Sans" w:cs="Open Sans"/>
          <w:sz w:val="22"/>
        </w:rPr>
        <w:t>at</w:t>
      </w:r>
      <w:proofErr w:type="gramEnd"/>
      <w:r w:rsidR="00307334" w:rsidRPr="00771430">
        <w:rPr>
          <w:rFonts w:ascii="Open Sans" w:hAnsi="Open Sans" w:cs="Open Sans"/>
          <w:sz w:val="22"/>
        </w:rPr>
        <w:t xml:space="preserve"> </w:t>
      </w:r>
      <w:r w:rsidR="00D92E32">
        <w:rPr>
          <w:rFonts w:ascii="Open Sans" w:hAnsi="Open Sans" w:cs="Open Sans"/>
          <w:sz w:val="22"/>
        </w:rPr>
        <w:t>December 31</w:t>
      </w:r>
      <w:r w:rsidR="006723BB">
        <w:rPr>
          <w:rFonts w:ascii="Open Sans" w:hAnsi="Open Sans" w:cs="Open Sans"/>
          <w:sz w:val="22"/>
        </w:rPr>
        <w:t>, 202</w:t>
      </w:r>
      <w:r w:rsidR="00BE69CA">
        <w:rPr>
          <w:rFonts w:ascii="Open Sans" w:hAnsi="Open Sans" w:cs="Open Sans"/>
          <w:sz w:val="22"/>
        </w:rPr>
        <w:t>1</w:t>
      </w:r>
      <w:r w:rsidR="00307334" w:rsidRPr="00771430">
        <w:rPr>
          <w:rFonts w:ascii="Open Sans" w:hAnsi="Open Sans" w:cs="Open Sans"/>
          <w:sz w:val="22"/>
        </w:rPr>
        <w:t xml:space="preserve"> was </w:t>
      </w:r>
      <w:r w:rsidR="00E67E2D">
        <w:rPr>
          <w:rFonts w:ascii="Open Sans" w:hAnsi="Open Sans" w:cs="Open Sans"/>
          <w:sz w:val="22"/>
        </w:rPr>
        <w:t>22,285,533</w:t>
      </w:r>
      <w:r w:rsidR="00307334" w:rsidRPr="00771430">
        <w:rPr>
          <w:rFonts w:ascii="Open Sans" w:hAnsi="Open Sans" w:cs="Open Sans"/>
          <w:sz w:val="22"/>
        </w:rPr>
        <w:t>.</w:t>
      </w:r>
    </w:p>
    <w:p w14:paraId="60741699" w14:textId="77777777" w:rsidR="005668C1" w:rsidRDefault="005668C1" w:rsidP="0064579E">
      <w:pPr>
        <w:spacing w:after="0"/>
        <w:jc w:val="both"/>
        <w:rPr>
          <w:rFonts w:ascii="Open Sans" w:hAnsi="Open Sans" w:cs="Open Sans"/>
          <w:b/>
          <w:sz w:val="22"/>
        </w:rPr>
      </w:pPr>
    </w:p>
    <w:bookmarkEnd w:id="7"/>
    <w:p w14:paraId="695702C8" w14:textId="34CD9BC0" w:rsidR="0052626C" w:rsidRPr="00771430" w:rsidRDefault="0052626C" w:rsidP="003409B4">
      <w:pPr>
        <w:tabs>
          <w:tab w:val="left" w:pos="7470"/>
        </w:tabs>
        <w:spacing w:after="0"/>
        <w:rPr>
          <w:rFonts w:ascii="Open Sans" w:hAnsi="Open Sans" w:cs="Open Sans"/>
          <w:b/>
          <w:sz w:val="22"/>
        </w:rPr>
      </w:pPr>
      <w:r w:rsidRPr="00771430">
        <w:rPr>
          <w:rFonts w:ascii="Open Sans" w:hAnsi="Open Sans" w:cs="Open Sans"/>
          <w:b/>
          <w:sz w:val="22"/>
        </w:rPr>
        <w:t>Directors and Officers Interest in Somers’ Share Capital</w:t>
      </w:r>
    </w:p>
    <w:p w14:paraId="7706E261" w14:textId="77777777" w:rsidR="008C6DBA" w:rsidRPr="00771430" w:rsidRDefault="008C6DBA" w:rsidP="00771430">
      <w:pPr>
        <w:spacing w:after="0"/>
        <w:rPr>
          <w:rFonts w:ascii="Open Sans" w:hAnsi="Open Sans" w:cs="Open Sans"/>
          <w:sz w:val="22"/>
        </w:rPr>
      </w:pPr>
    </w:p>
    <w:p w14:paraId="7F727088" w14:textId="6C786931" w:rsidR="008C2EDB" w:rsidRPr="00771430" w:rsidRDefault="008C2EDB" w:rsidP="006723BB">
      <w:pPr>
        <w:spacing w:after="0"/>
        <w:jc w:val="both"/>
        <w:rPr>
          <w:rFonts w:ascii="Open Sans" w:hAnsi="Open Sans" w:cs="Open Sans"/>
          <w:sz w:val="22"/>
        </w:rPr>
      </w:pPr>
      <w:proofErr w:type="gramStart"/>
      <w:r w:rsidRPr="00771430">
        <w:rPr>
          <w:rFonts w:ascii="Open Sans" w:hAnsi="Open Sans" w:cs="Open Sans"/>
          <w:sz w:val="22"/>
        </w:rPr>
        <w:t>At</w:t>
      </w:r>
      <w:proofErr w:type="gramEnd"/>
      <w:r w:rsidRPr="00771430">
        <w:rPr>
          <w:rFonts w:ascii="Open Sans" w:hAnsi="Open Sans" w:cs="Open Sans"/>
          <w:sz w:val="22"/>
        </w:rPr>
        <w:t xml:space="preserve"> </w:t>
      </w:r>
      <w:r w:rsidR="00D92E32">
        <w:rPr>
          <w:rFonts w:ascii="Open Sans" w:hAnsi="Open Sans" w:cs="Open Sans"/>
          <w:sz w:val="22"/>
        </w:rPr>
        <w:t>December</w:t>
      </w:r>
      <w:r w:rsidR="006723BB">
        <w:rPr>
          <w:rFonts w:ascii="Open Sans" w:hAnsi="Open Sans" w:cs="Open Sans"/>
          <w:sz w:val="22"/>
        </w:rPr>
        <w:t xml:space="preserve"> 3</w:t>
      </w:r>
      <w:r w:rsidR="00D92E32">
        <w:rPr>
          <w:rFonts w:ascii="Open Sans" w:hAnsi="Open Sans" w:cs="Open Sans"/>
          <w:sz w:val="22"/>
        </w:rPr>
        <w:t>1</w:t>
      </w:r>
      <w:r w:rsidR="006723BB">
        <w:rPr>
          <w:rFonts w:ascii="Open Sans" w:hAnsi="Open Sans" w:cs="Open Sans"/>
          <w:sz w:val="22"/>
        </w:rPr>
        <w:t>, 202</w:t>
      </w:r>
      <w:r w:rsidR="0081779F">
        <w:rPr>
          <w:rFonts w:ascii="Open Sans" w:hAnsi="Open Sans" w:cs="Open Sans"/>
          <w:sz w:val="22"/>
        </w:rPr>
        <w:t>1</w:t>
      </w:r>
      <w:r w:rsidRPr="00771430">
        <w:rPr>
          <w:rFonts w:ascii="Open Sans" w:hAnsi="Open Sans" w:cs="Open Sans"/>
          <w:sz w:val="22"/>
        </w:rPr>
        <w:t xml:space="preserve">, the Directors and Officers of </w:t>
      </w:r>
      <w:r w:rsidR="00EE2110">
        <w:rPr>
          <w:rFonts w:ascii="Open Sans" w:hAnsi="Open Sans" w:cs="Open Sans"/>
          <w:sz w:val="22"/>
        </w:rPr>
        <w:t>Somers</w:t>
      </w:r>
      <w:r w:rsidRPr="00771430">
        <w:rPr>
          <w:rFonts w:ascii="Open Sans" w:hAnsi="Open Sans" w:cs="Open Sans"/>
          <w:sz w:val="22"/>
        </w:rPr>
        <w:t xml:space="preserve"> and their related interests had combined interests totaling </w:t>
      </w:r>
      <w:r w:rsidR="0064579E">
        <w:rPr>
          <w:rFonts w:ascii="Open Sans" w:hAnsi="Open Sans" w:cs="Open Sans"/>
          <w:sz w:val="22"/>
        </w:rPr>
        <w:t>111,486</w:t>
      </w:r>
      <w:r w:rsidRPr="00771430">
        <w:rPr>
          <w:rFonts w:ascii="Open Sans" w:hAnsi="Open Sans" w:cs="Open Sans"/>
          <w:sz w:val="22"/>
        </w:rPr>
        <w:t xml:space="preserve"> common shares representing </w:t>
      </w:r>
      <w:r w:rsidR="0064579E">
        <w:rPr>
          <w:rFonts w:ascii="Open Sans" w:hAnsi="Open Sans" w:cs="Open Sans"/>
          <w:sz w:val="22"/>
        </w:rPr>
        <w:t>0.50</w:t>
      </w:r>
      <w:r w:rsidRPr="00771430">
        <w:rPr>
          <w:rFonts w:ascii="Open Sans" w:hAnsi="Open Sans" w:cs="Open Sans"/>
          <w:sz w:val="22"/>
        </w:rPr>
        <w:t xml:space="preserve">% of </w:t>
      </w:r>
      <w:r w:rsidR="00EE2110">
        <w:rPr>
          <w:rFonts w:ascii="Open Sans" w:hAnsi="Open Sans" w:cs="Open Sans"/>
          <w:sz w:val="22"/>
        </w:rPr>
        <w:t>Somer</w:t>
      </w:r>
      <w:r w:rsidRPr="00771430">
        <w:rPr>
          <w:rFonts w:ascii="Open Sans" w:hAnsi="Open Sans" w:cs="Open Sans"/>
          <w:sz w:val="22"/>
        </w:rPr>
        <w:t>s</w:t>
      </w:r>
      <w:r w:rsidR="00EE2110">
        <w:rPr>
          <w:rFonts w:ascii="Open Sans" w:hAnsi="Open Sans" w:cs="Open Sans"/>
          <w:sz w:val="22"/>
        </w:rPr>
        <w:t>’</w:t>
      </w:r>
      <w:r w:rsidRPr="00771430">
        <w:rPr>
          <w:rFonts w:ascii="Open Sans" w:hAnsi="Open Sans" w:cs="Open Sans"/>
          <w:sz w:val="22"/>
        </w:rPr>
        <w:t xml:space="preserve"> issued share capital.</w:t>
      </w:r>
      <w:r w:rsidRPr="00771430">
        <w:rPr>
          <w:rFonts w:ascii="Open Sans" w:eastAsiaTheme="minorHAnsi" w:hAnsi="Open Sans" w:cs="Open Sans"/>
          <w:color w:val="000000"/>
          <w:sz w:val="22"/>
          <w:lang w:val="en-IE"/>
        </w:rPr>
        <w:t xml:space="preserve"> No rights to subscribe to shares or debt securities in </w:t>
      </w:r>
      <w:r w:rsidR="00EE2110">
        <w:rPr>
          <w:rFonts w:ascii="Open Sans" w:eastAsiaTheme="minorHAnsi" w:hAnsi="Open Sans" w:cs="Open Sans"/>
          <w:color w:val="000000"/>
          <w:sz w:val="22"/>
          <w:lang w:val="en-IE"/>
        </w:rPr>
        <w:t xml:space="preserve">Somers </w:t>
      </w:r>
      <w:r w:rsidRPr="00771430">
        <w:rPr>
          <w:rFonts w:ascii="Open Sans" w:eastAsiaTheme="minorHAnsi" w:hAnsi="Open Sans" w:cs="Open Sans"/>
          <w:color w:val="000000"/>
          <w:sz w:val="22"/>
          <w:lang w:val="en-IE"/>
        </w:rPr>
        <w:t xml:space="preserve">have been granted to, or exercised by, any Director or Officer of </w:t>
      </w:r>
      <w:r w:rsidR="00EE2110">
        <w:rPr>
          <w:rFonts w:ascii="Open Sans" w:eastAsiaTheme="minorHAnsi" w:hAnsi="Open Sans" w:cs="Open Sans"/>
          <w:color w:val="000000"/>
          <w:sz w:val="22"/>
          <w:lang w:val="en-IE"/>
        </w:rPr>
        <w:t xml:space="preserve">Somers </w:t>
      </w:r>
      <w:r w:rsidRPr="00771430">
        <w:rPr>
          <w:rFonts w:ascii="Open Sans" w:eastAsiaTheme="minorHAnsi" w:hAnsi="Open Sans" w:cs="Open Sans"/>
          <w:color w:val="000000"/>
          <w:sz w:val="22"/>
          <w:lang w:val="en-IE"/>
        </w:rPr>
        <w:t>during the</w:t>
      </w:r>
      <w:r w:rsidR="006A2F74" w:rsidRPr="00771430">
        <w:rPr>
          <w:rFonts w:ascii="Open Sans" w:eastAsiaTheme="minorHAnsi" w:hAnsi="Open Sans" w:cs="Open Sans"/>
          <w:color w:val="000000"/>
          <w:sz w:val="22"/>
          <w:lang w:val="en-IE"/>
        </w:rPr>
        <w:t xml:space="preserve"> </w:t>
      </w:r>
      <w:r w:rsidR="0064579E">
        <w:rPr>
          <w:rFonts w:ascii="Open Sans" w:eastAsiaTheme="minorHAnsi" w:hAnsi="Open Sans" w:cs="Open Sans"/>
          <w:color w:val="000000"/>
          <w:sz w:val="22"/>
          <w:lang w:val="en-IE"/>
        </w:rPr>
        <w:t>December</w:t>
      </w:r>
      <w:r w:rsidRPr="00771430">
        <w:rPr>
          <w:rFonts w:ascii="Open Sans" w:eastAsiaTheme="minorHAnsi" w:hAnsi="Open Sans" w:cs="Open Sans"/>
          <w:color w:val="000000"/>
          <w:sz w:val="22"/>
          <w:lang w:val="en-IE"/>
        </w:rPr>
        <w:t xml:space="preserve"> quarter.</w:t>
      </w:r>
      <w:r w:rsidR="0023017F">
        <w:rPr>
          <w:rFonts w:ascii="Open Sans" w:eastAsiaTheme="minorHAnsi" w:hAnsi="Open Sans" w:cs="Open Sans"/>
          <w:color w:val="000000"/>
          <w:sz w:val="22"/>
          <w:lang w:val="en-IE"/>
        </w:rPr>
        <w:t xml:space="preserve">  </w:t>
      </w:r>
    </w:p>
    <w:p w14:paraId="0347A48D" w14:textId="4EDCD629" w:rsidR="004C68C2" w:rsidRDefault="004C68C2" w:rsidP="00771430">
      <w:pPr>
        <w:spacing w:after="0" w:line="240" w:lineRule="auto"/>
        <w:rPr>
          <w:rFonts w:ascii="Open Sans" w:hAnsi="Open Sans" w:cs="Open Sans"/>
          <w:b/>
          <w:sz w:val="22"/>
        </w:rPr>
      </w:pPr>
    </w:p>
    <w:p w14:paraId="0910D2B1" w14:textId="77777777" w:rsidR="003409B4" w:rsidRPr="00771430" w:rsidRDefault="003409B4" w:rsidP="00771430">
      <w:pPr>
        <w:spacing w:after="0" w:line="240" w:lineRule="auto"/>
        <w:rPr>
          <w:rFonts w:ascii="Open Sans" w:hAnsi="Open Sans" w:cs="Open Sans"/>
          <w:b/>
          <w:sz w:val="22"/>
        </w:rPr>
      </w:pPr>
    </w:p>
    <w:p w14:paraId="0B3080C7" w14:textId="04885720" w:rsidR="0052626C" w:rsidRPr="00771430" w:rsidRDefault="0052626C" w:rsidP="00771430">
      <w:pPr>
        <w:spacing w:after="0"/>
        <w:rPr>
          <w:rFonts w:ascii="Open Sans" w:hAnsi="Open Sans" w:cs="Open Sans"/>
          <w:b/>
          <w:sz w:val="22"/>
        </w:rPr>
      </w:pPr>
      <w:r w:rsidRPr="00771430">
        <w:rPr>
          <w:rFonts w:ascii="Open Sans" w:hAnsi="Open Sans" w:cs="Open Sans"/>
          <w:b/>
          <w:sz w:val="22"/>
        </w:rPr>
        <w:t>Media Contact:</w:t>
      </w:r>
    </w:p>
    <w:p w14:paraId="5F9357E3" w14:textId="77777777" w:rsidR="0052626C" w:rsidRPr="00771430" w:rsidRDefault="0052626C" w:rsidP="00771430">
      <w:pPr>
        <w:spacing w:after="0"/>
        <w:rPr>
          <w:rFonts w:ascii="Open Sans" w:hAnsi="Open Sans" w:cs="Open Sans"/>
          <w:b/>
          <w:sz w:val="22"/>
        </w:rPr>
      </w:pPr>
      <w:r w:rsidRPr="00771430">
        <w:rPr>
          <w:rFonts w:ascii="Open Sans" w:hAnsi="Open Sans" w:cs="Open Sans"/>
          <w:sz w:val="22"/>
        </w:rPr>
        <w:t xml:space="preserve">Alasdair Younie </w:t>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p>
    <w:p w14:paraId="2AE957EA" w14:textId="6A0B5951" w:rsidR="0052626C" w:rsidRPr="00771430" w:rsidRDefault="0052626C" w:rsidP="00771430">
      <w:pPr>
        <w:spacing w:after="0"/>
        <w:rPr>
          <w:rFonts w:ascii="Open Sans" w:hAnsi="Open Sans" w:cs="Open Sans"/>
          <w:b/>
          <w:sz w:val="22"/>
        </w:rPr>
      </w:pPr>
      <w:r w:rsidRPr="00771430">
        <w:rPr>
          <w:rFonts w:ascii="Open Sans" w:hAnsi="Open Sans" w:cs="Open Sans"/>
          <w:sz w:val="22"/>
        </w:rPr>
        <w:t>Director</w:t>
      </w:r>
      <w:r w:rsidR="00490867">
        <w:rPr>
          <w:rFonts w:ascii="Open Sans" w:hAnsi="Open Sans" w:cs="Open Sans"/>
          <w:sz w:val="22"/>
        </w:rPr>
        <w:t xml:space="preserve">, </w:t>
      </w:r>
      <w:r w:rsidR="00F73E7D" w:rsidRPr="00771430">
        <w:rPr>
          <w:rFonts w:ascii="Open Sans" w:hAnsi="Open Sans" w:cs="Open Sans"/>
          <w:sz w:val="22"/>
        </w:rPr>
        <w:t>ICM Limited</w:t>
      </w:r>
      <w:r w:rsidRPr="00771430">
        <w:rPr>
          <w:rFonts w:ascii="Open Sans" w:hAnsi="Open Sans" w:cs="Open Sans"/>
          <w:sz w:val="22"/>
        </w:rPr>
        <w:t xml:space="preserve"> </w:t>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p>
    <w:p w14:paraId="54DE7BE1" w14:textId="77777777" w:rsidR="0052626C" w:rsidRPr="00771430" w:rsidRDefault="0052626C" w:rsidP="00771430">
      <w:pPr>
        <w:spacing w:after="0"/>
        <w:rPr>
          <w:rFonts w:ascii="Open Sans" w:hAnsi="Open Sans" w:cs="Open Sans"/>
          <w:sz w:val="22"/>
        </w:rPr>
      </w:pPr>
      <w:r w:rsidRPr="00771430">
        <w:rPr>
          <w:rFonts w:ascii="Open Sans" w:hAnsi="Open Sans" w:cs="Open Sans"/>
          <w:sz w:val="22"/>
        </w:rPr>
        <w:t xml:space="preserve">Tel:  441-299-2897 </w:t>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r w:rsidRPr="00771430">
        <w:rPr>
          <w:rFonts w:ascii="Open Sans" w:hAnsi="Open Sans" w:cs="Open Sans"/>
          <w:sz w:val="22"/>
        </w:rPr>
        <w:tab/>
      </w:r>
    </w:p>
    <w:p w14:paraId="764358B4" w14:textId="77777777" w:rsidR="0052626C" w:rsidRPr="00771430" w:rsidRDefault="0052626C" w:rsidP="00771430">
      <w:pPr>
        <w:spacing w:after="0"/>
        <w:rPr>
          <w:rFonts w:ascii="Open Sans" w:hAnsi="Open Sans" w:cs="Open Sans"/>
          <w:color w:val="000000"/>
          <w:sz w:val="22"/>
          <w:lang w:val="en-IE"/>
        </w:rPr>
      </w:pPr>
      <w:r w:rsidRPr="00771430">
        <w:rPr>
          <w:rFonts w:ascii="Open Sans" w:hAnsi="Open Sans" w:cs="Open Sans"/>
          <w:sz w:val="22"/>
        </w:rPr>
        <w:t xml:space="preserve">Email:  </w:t>
      </w:r>
      <w:hyperlink r:id="rId7" w:history="1">
        <w:r w:rsidRPr="00771430">
          <w:rPr>
            <w:rStyle w:val="Hyperlink"/>
            <w:rFonts w:ascii="Open Sans" w:hAnsi="Open Sans" w:cs="Open Sans"/>
            <w:sz w:val="22"/>
          </w:rPr>
          <w:t>ay@icm.bm</w:t>
        </w:r>
      </w:hyperlink>
    </w:p>
    <w:p w14:paraId="1E4CB5DF" w14:textId="77777777" w:rsidR="0052626C" w:rsidRPr="00771430" w:rsidRDefault="0052626C" w:rsidP="00EE2110">
      <w:pPr>
        <w:spacing w:line="276" w:lineRule="auto"/>
        <w:rPr>
          <w:rFonts w:ascii="Open Sans" w:hAnsi="Open Sans" w:cs="Open Sans"/>
          <w:b/>
          <w:sz w:val="22"/>
        </w:rPr>
      </w:pPr>
      <w:r w:rsidRPr="00771430">
        <w:rPr>
          <w:rFonts w:ascii="Open Sans" w:hAnsi="Open Sans" w:cs="Open Sans"/>
          <w:b/>
          <w:sz w:val="22"/>
        </w:rPr>
        <w:t>ENDS</w:t>
      </w:r>
      <w:r w:rsidR="00047229" w:rsidRPr="00771430">
        <w:rPr>
          <w:rFonts w:ascii="Open Sans" w:hAnsi="Open Sans" w:cs="Open Sans"/>
          <w:b/>
          <w:sz w:val="22"/>
        </w:rPr>
        <w:t xml:space="preserve"> </w:t>
      </w:r>
      <w:r w:rsidRPr="00771430">
        <w:rPr>
          <w:rFonts w:ascii="Open Sans" w:hAnsi="Open Sans" w:cs="Open Sans"/>
          <w:b/>
          <w:sz w:val="22"/>
        </w:rPr>
        <w:t>-</w:t>
      </w:r>
    </w:p>
    <w:p w14:paraId="6744B21C" w14:textId="77777777" w:rsidR="003504CE" w:rsidRDefault="003504CE" w:rsidP="003504CE">
      <w:pPr>
        <w:spacing w:after="0" w:line="240" w:lineRule="auto"/>
        <w:rPr>
          <w:rFonts w:ascii="Open Sans" w:hAnsi="Open Sans" w:cs="Open Sans"/>
          <w:sz w:val="24"/>
          <w:szCs w:val="24"/>
          <w:u w:val="single"/>
        </w:rPr>
      </w:pPr>
    </w:p>
    <w:p w14:paraId="59F9349C" w14:textId="3BF49F68" w:rsidR="0069521B" w:rsidRPr="003504CE" w:rsidRDefault="0069521B" w:rsidP="003504CE">
      <w:pPr>
        <w:spacing w:after="0" w:line="240" w:lineRule="auto"/>
        <w:rPr>
          <w:rFonts w:ascii="Open Sans" w:eastAsiaTheme="minorHAnsi" w:hAnsi="Open Sans" w:cs="Open Sans"/>
          <w:color w:val="000000"/>
          <w:sz w:val="18"/>
          <w:u w:val="single"/>
          <w:lang w:val="en-IE"/>
        </w:rPr>
      </w:pPr>
      <w:r w:rsidRPr="003504CE">
        <w:rPr>
          <w:rFonts w:ascii="Open Sans" w:hAnsi="Open Sans" w:cs="Open Sans"/>
          <w:sz w:val="24"/>
          <w:szCs w:val="24"/>
          <w:u w:val="single"/>
        </w:rPr>
        <w:t>About Somers Limited:</w:t>
      </w:r>
    </w:p>
    <w:p w14:paraId="05A11215" w14:textId="77777777" w:rsidR="003504CE" w:rsidRDefault="003504CE" w:rsidP="003504CE">
      <w:pPr>
        <w:spacing w:after="0" w:line="240" w:lineRule="auto"/>
        <w:jc w:val="both"/>
        <w:rPr>
          <w:rFonts w:ascii="Open Sans" w:hAnsi="Open Sans" w:cs="Open Sans"/>
          <w:sz w:val="22"/>
        </w:rPr>
      </w:pPr>
    </w:p>
    <w:p w14:paraId="6D37A971" w14:textId="4CCC0AE6" w:rsidR="007C1123" w:rsidRPr="007C1123" w:rsidRDefault="007C1123" w:rsidP="007C1123">
      <w:pPr>
        <w:jc w:val="both"/>
        <w:rPr>
          <w:rFonts w:ascii="Open Sans" w:hAnsi="Open Sans" w:cs="Open Sans"/>
          <w:sz w:val="22"/>
        </w:rPr>
      </w:pPr>
      <w:r w:rsidRPr="007C1123">
        <w:rPr>
          <w:rFonts w:ascii="Open Sans" w:hAnsi="Open Sans" w:cs="Open Sans"/>
          <w:sz w:val="22"/>
        </w:rPr>
        <w:t>Somers is a listed financial services investment holding company whose major assets include: a 62.</w:t>
      </w:r>
      <w:r w:rsidR="0064579E">
        <w:rPr>
          <w:rFonts w:ascii="Open Sans" w:hAnsi="Open Sans" w:cs="Open Sans"/>
          <w:sz w:val="22"/>
        </w:rPr>
        <w:t>3</w:t>
      </w:r>
      <w:r w:rsidRPr="007C1123">
        <w:rPr>
          <w:rFonts w:ascii="Open Sans" w:hAnsi="Open Sans" w:cs="Open Sans"/>
          <w:sz w:val="22"/>
        </w:rPr>
        <w:t>% holding in Resimac Group Limited, a leading non-bank Australian financial institution with over A$16 billion assets under management; a 6</w:t>
      </w:r>
      <w:r w:rsidR="00177C29">
        <w:rPr>
          <w:rFonts w:ascii="Open Sans" w:hAnsi="Open Sans" w:cs="Open Sans"/>
          <w:sz w:val="22"/>
        </w:rPr>
        <w:t>2.2</w:t>
      </w:r>
      <w:r w:rsidRPr="007C1123">
        <w:rPr>
          <w:rFonts w:ascii="Open Sans" w:hAnsi="Open Sans" w:cs="Open Sans"/>
          <w:sz w:val="22"/>
        </w:rPr>
        <w:t>% holding in Waverton Investment Management Group Limited, a UK wealth manager with £</w:t>
      </w:r>
      <w:r w:rsidR="0064579E">
        <w:rPr>
          <w:rFonts w:ascii="Open Sans" w:hAnsi="Open Sans" w:cs="Open Sans"/>
          <w:sz w:val="22"/>
        </w:rPr>
        <w:t>12.8</w:t>
      </w:r>
      <w:r w:rsidRPr="007C1123">
        <w:rPr>
          <w:rFonts w:ascii="Open Sans" w:hAnsi="Open Sans" w:cs="Open Sans"/>
          <w:sz w:val="22"/>
        </w:rPr>
        <w:t xml:space="preserve"> billion </w:t>
      </w:r>
      <w:r w:rsidR="0064579E">
        <w:rPr>
          <w:rFonts w:ascii="Open Sans" w:hAnsi="Open Sans" w:cs="Open Sans"/>
          <w:sz w:val="22"/>
        </w:rPr>
        <w:t>funds under management and administration</w:t>
      </w:r>
      <w:r w:rsidRPr="007C1123">
        <w:rPr>
          <w:rFonts w:ascii="Open Sans" w:hAnsi="Open Sans" w:cs="Open Sans"/>
          <w:sz w:val="22"/>
        </w:rPr>
        <w:t>; and a 64.4% shareholding in UK specialist bank, PCF Group plc. Somers has shareholders’ funds of approximately US$</w:t>
      </w:r>
      <w:r w:rsidR="0064579E">
        <w:rPr>
          <w:rFonts w:ascii="Open Sans" w:hAnsi="Open Sans" w:cs="Open Sans"/>
          <w:sz w:val="22"/>
        </w:rPr>
        <w:t>587</w:t>
      </w:r>
      <w:r w:rsidRPr="007C1123">
        <w:rPr>
          <w:rFonts w:ascii="Open Sans" w:hAnsi="Open Sans" w:cs="Open Sans"/>
          <w:sz w:val="22"/>
        </w:rPr>
        <w:t xml:space="preserve"> million. Somers’ shares are publicly traded and listed on the Bermuda Stock Exchange (Ticker: SOM.BH). More details on the Company can be found at </w:t>
      </w:r>
      <w:hyperlink r:id="rId8" w:history="1">
        <w:r w:rsidRPr="007C1123">
          <w:rPr>
            <w:rFonts w:ascii="Open Sans" w:hAnsi="Open Sans" w:cs="Open Sans"/>
            <w:sz w:val="22"/>
          </w:rPr>
          <w:t>www.somers.limited</w:t>
        </w:r>
      </w:hyperlink>
      <w:r w:rsidRPr="007C1123">
        <w:rPr>
          <w:rFonts w:ascii="Open Sans" w:hAnsi="Open Sans" w:cs="Open Sans"/>
          <w:sz w:val="22"/>
        </w:rPr>
        <w:t>.</w:t>
      </w:r>
    </w:p>
    <w:p w14:paraId="23F8AA62" w14:textId="1FE9442F" w:rsidR="00D55857" w:rsidRDefault="00D55857" w:rsidP="007C1123">
      <w:pPr>
        <w:jc w:val="both"/>
        <w:rPr>
          <w:rFonts w:ascii="Open Sans" w:hAnsi="Open Sans" w:cs="Open Sans"/>
          <w:sz w:val="22"/>
        </w:rPr>
      </w:pPr>
    </w:p>
    <w:p w14:paraId="52E98F2C" w14:textId="77777777" w:rsidR="00C76E5D" w:rsidRPr="00771430" w:rsidRDefault="00C76E5D" w:rsidP="007C1123">
      <w:pPr>
        <w:jc w:val="both"/>
        <w:rPr>
          <w:rFonts w:ascii="Open Sans" w:hAnsi="Open Sans" w:cs="Open Sans"/>
          <w:sz w:val="22"/>
        </w:rPr>
      </w:pPr>
    </w:p>
    <w:sectPr w:rsidR="00C76E5D" w:rsidRPr="00771430" w:rsidSect="00771430">
      <w:headerReference w:type="default" r:id="rId9"/>
      <w:footerReference w:type="default" r:id="rId10"/>
      <w:pgSz w:w="11907" w:h="16839" w:code="9"/>
      <w:pgMar w:top="1843" w:right="1080" w:bottom="1276" w:left="1080"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0379" w14:textId="77777777" w:rsidR="009B2D67" w:rsidRDefault="009B2D67" w:rsidP="0041319D">
      <w:pPr>
        <w:spacing w:after="0" w:line="240" w:lineRule="auto"/>
      </w:pPr>
      <w:r>
        <w:separator/>
      </w:r>
    </w:p>
  </w:endnote>
  <w:endnote w:type="continuationSeparator" w:id="0">
    <w:p w14:paraId="64CE7BCE" w14:textId="77777777" w:rsidR="009B2D67" w:rsidRDefault="009B2D67" w:rsidP="0041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Condensed Light">
    <w:altName w:val="Cambria"/>
    <w:panose1 w:val="00000000000000000000"/>
    <w:charset w:val="00"/>
    <w:family w:val="auto"/>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2698" w14:textId="77777777" w:rsidR="000D513D" w:rsidRPr="00CB61B6" w:rsidRDefault="000D513D" w:rsidP="003B348C">
    <w:pPr>
      <w:pStyle w:val="NormalWeb"/>
      <w:spacing w:before="0" w:beforeAutospacing="0" w:after="0" w:afterAutospacing="0"/>
      <w:ind w:left="-284"/>
      <w:rPr>
        <w:rFonts w:ascii="Open Sans Light" w:hAnsi="Open Sans Light" w:cs="Open Sans Light"/>
        <w:color w:val="A91BB0"/>
        <w:kern w:val="24"/>
        <w:sz w:val="20"/>
      </w:rPr>
    </w:pPr>
  </w:p>
  <w:p w14:paraId="5F565761" w14:textId="77777777" w:rsidR="000D513D" w:rsidRDefault="000D513D" w:rsidP="0041319D">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C90F" w14:textId="77777777" w:rsidR="009B2D67" w:rsidRDefault="009B2D67" w:rsidP="0041319D">
      <w:pPr>
        <w:spacing w:after="0" w:line="240" w:lineRule="auto"/>
      </w:pPr>
      <w:r>
        <w:separator/>
      </w:r>
    </w:p>
  </w:footnote>
  <w:footnote w:type="continuationSeparator" w:id="0">
    <w:p w14:paraId="763B9F2B" w14:textId="77777777" w:rsidR="009B2D67" w:rsidRDefault="009B2D67" w:rsidP="0041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4718" w14:textId="2495C78D" w:rsidR="000D513D" w:rsidRPr="00F9472A" w:rsidRDefault="008D49FA" w:rsidP="0041319D">
    <w:pPr>
      <w:pStyle w:val="Header"/>
      <w:ind w:left="-567"/>
      <w:rPr>
        <w:color w:val="1F3864"/>
      </w:rPr>
    </w:pPr>
    <w:r>
      <w:rPr>
        <w:noProof/>
      </w:rPr>
      <w:drawing>
        <wp:inline distT="0" distB="0" distL="0" distR="0" wp14:anchorId="21153368" wp14:editId="4561E5B0">
          <wp:extent cx="2806624"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115" cy="366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12F0"/>
    <w:multiLevelType w:val="hybridMultilevel"/>
    <w:tmpl w:val="2C12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9D"/>
    <w:rsid w:val="00001A7E"/>
    <w:rsid w:val="00001E9A"/>
    <w:rsid w:val="00001EFA"/>
    <w:rsid w:val="000027E0"/>
    <w:rsid w:val="000150BA"/>
    <w:rsid w:val="000376EF"/>
    <w:rsid w:val="00047229"/>
    <w:rsid w:val="00054D47"/>
    <w:rsid w:val="00071CFB"/>
    <w:rsid w:val="000723EF"/>
    <w:rsid w:val="00073EC8"/>
    <w:rsid w:val="0007651D"/>
    <w:rsid w:val="00092ECD"/>
    <w:rsid w:val="000A3E44"/>
    <w:rsid w:val="000B151F"/>
    <w:rsid w:val="000B3639"/>
    <w:rsid w:val="000C53CD"/>
    <w:rsid w:val="000D3030"/>
    <w:rsid w:val="000D513D"/>
    <w:rsid w:val="000E0516"/>
    <w:rsid w:val="000F17B1"/>
    <w:rsid w:val="000F54CC"/>
    <w:rsid w:val="000F5F27"/>
    <w:rsid w:val="001018B6"/>
    <w:rsid w:val="00101E3A"/>
    <w:rsid w:val="001038E7"/>
    <w:rsid w:val="00105D93"/>
    <w:rsid w:val="00114ACE"/>
    <w:rsid w:val="001262BD"/>
    <w:rsid w:val="0013258A"/>
    <w:rsid w:val="00136BFC"/>
    <w:rsid w:val="00140F77"/>
    <w:rsid w:val="00142B9E"/>
    <w:rsid w:val="00144679"/>
    <w:rsid w:val="00146CB8"/>
    <w:rsid w:val="00155BE5"/>
    <w:rsid w:val="00177C29"/>
    <w:rsid w:val="00180933"/>
    <w:rsid w:val="00186729"/>
    <w:rsid w:val="00190A54"/>
    <w:rsid w:val="00193BF8"/>
    <w:rsid w:val="001A43BE"/>
    <w:rsid w:val="001B349F"/>
    <w:rsid w:val="001C5191"/>
    <w:rsid w:val="001C52B6"/>
    <w:rsid w:val="001D045E"/>
    <w:rsid w:val="001E0369"/>
    <w:rsid w:val="001E163E"/>
    <w:rsid w:val="001F4789"/>
    <w:rsid w:val="00203C64"/>
    <w:rsid w:val="00204D21"/>
    <w:rsid w:val="002067F0"/>
    <w:rsid w:val="00207501"/>
    <w:rsid w:val="002178F4"/>
    <w:rsid w:val="00223A23"/>
    <w:rsid w:val="00226A79"/>
    <w:rsid w:val="00227587"/>
    <w:rsid w:val="00227D97"/>
    <w:rsid w:val="0023017F"/>
    <w:rsid w:val="00253364"/>
    <w:rsid w:val="002548CD"/>
    <w:rsid w:val="0027462D"/>
    <w:rsid w:val="00281D08"/>
    <w:rsid w:val="00282468"/>
    <w:rsid w:val="00290B19"/>
    <w:rsid w:val="0029102E"/>
    <w:rsid w:val="00294838"/>
    <w:rsid w:val="002965E6"/>
    <w:rsid w:val="002A307D"/>
    <w:rsid w:val="002A3DE5"/>
    <w:rsid w:val="002C4162"/>
    <w:rsid w:val="002C5B95"/>
    <w:rsid w:val="002C65C9"/>
    <w:rsid w:val="002E30B3"/>
    <w:rsid w:val="002F57E3"/>
    <w:rsid w:val="00304BE0"/>
    <w:rsid w:val="00305A15"/>
    <w:rsid w:val="00307334"/>
    <w:rsid w:val="00330460"/>
    <w:rsid w:val="00334F92"/>
    <w:rsid w:val="00336FED"/>
    <w:rsid w:val="003409B4"/>
    <w:rsid w:val="003504CE"/>
    <w:rsid w:val="00365CB9"/>
    <w:rsid w:val="00371B5B"/>
    <w:rsid w:val="00380684"/>
    <w:rsid w:val="00391563"/>
    <w:rsid w:val="00392EC7"/>
    <w:rsid w:val="003A5426"/>
    <w:rsid w:val="003B348C"/>
    <w:rsid w:val="003C3792"/>
    <w:rsid w:val="003C6DBF"/>
    <w:rsid w:val="003D22A8"/>
    <w:rsid w:val="003E10FE"/>
    <w:rsid w:val="003E199F"/>
    <w:rsid w:val="003E2E35"/>
    <w:rsid w:val="003E3709"/>
    <w:rsid w:val="003F0C75"/>
    <w:rsid w:val="00403460"/>
    <w:rsid w:val="0041319D"/>
    <w:rsid w:val="0041549B"/>
    <w:rsid w:val="004205FD"/>
    <w:rsid w:val="004207D5"/>
    <w:rsid w:val="0042367B"/>
    <w:rsid w:val="00427F5F"/>
    <w:rsid w:val="00440FD8"/>
    <w:rsid w:val="00442949"/>
    <w:rsid w:val="00457224"/>
    <w:rsid w:val="00463982"/>
    <w:rsid w:val="00472136"/>
    <w:rsid w:val="004818DF"/>
    <w:rsid w:val="00490867"/>
    <w:rsid w:val="0049166F"/>
    <w:rsid w:val="00492D5A"/>
    <w:rsid w:val="004A0D2D"/>
    <w:rsid w:val="004A477B"/>
    <w:rsid w:val="004C68C2"/>
    <w:rsid w:val="004D0AD2"/>
    <w:rsid w:val="004D5E3F"/>
    <w:rsid w:val="004E0443"/>
    <w:rsid w:val="004F179B"/>
    <w:rsid w:val="004F66A1"/>
    <w:rsid w:val="0052057C"/>
    <w:rsid w:val="0052626C"/>
    <w:rsid w:val="00536BC6"/>
    <w:rsid w:val="00540645"/>
    <w:rsid w:val="00540727"/>
    <w:rsid w:val="005470CC"/>
    <w:rsid w:val="00564B54"/>
    <w:rsid w:val="00565ADE"/>
    <w:rsid w:val="005668C1"/>
    <w:rsid w:val="00574829"/>
    <w:rsid w:val="00583E64"/>
    <w:rsid w:val="005B2349"/>
    <w:rsid w:val="005C3181"/>
    <w:rsid w:val="005C661E"/>
    <w:rsid w:val="005D4534"/>
    <w:rsid w:val="0062077D"/>
    <w:rsid w:val="00621A79"/>
    <w:rsid w:val="0062243C"/>
    <w:rsid w:val="00623DA4"/>
    <w:rsid w:val="00634532"/>
    <w:rsid w:val="00634FA5"/>
    <w:rsid w:val="0064579E"/>
    <w:rsid w:val="00656818"/>
    <w:rsid w:val="00660328"/>
    <w:rsid w:val="00661102"/>
    <w:rsid w:val="00666962"/>
    <w:rsid w:val="006723BB"/>
    <w:rsid w:val="00672E75"/>
    <w:rsid w:val="00680231"/>
    <w:rsid w:val="006908DC"/>
    <w:rsid w:val="0069362F"/>
    <w:rsid w:val="0069521B"/>
    <w:rsid w:val="006A2F74"/>
    <w:rsid w:val="006A4EC7"/>
    <w:rsid w:val="006B46E3"/>
    <w:rsid w:val="006D08AD"/>
    <w:rsid w:val="006D3EB4"/>
    <w:rsid w:val="006E0F16"/>
    <w:rsid w:val="006E21BE"/>
    <w:rsid w:val="006F5498"/>
    <w:rsid w:val="00700474"/>
    <w:rsid w:val="007075CB"/>
    <w:rsid w:val="00707F40"/>
    <w:rsid w:val="00713C61"/>
    <w:rsid w:val="007340BD"/>
    <w:rsid w:val="0073679B"/>
    <w:rsid w:val="00741B3D"/>
    <w:rsid w:val="00742EEA"/>
    <w:rsid w:val="007432DF"/>
    <w:rsid w:val="00744A06"/>
    <w:rsid w:val="00753AEA"/>
    <w:rsid w:val="00757ED8"/>
    <w:rsid w:val="00766253"/>
    <w:rsid w:val="00770E01"/>
    <w:rsid w:val="00771430"/>
    <w:rsid w:val="00771840"/>
    <w:rsid w:val="00786E49"/>
    <w:rsid w:val="00792430"/>
    <w:rsid w:val="007927F7"/>
    <w:rsid w:val="007971D5"/>
    <w:rsid w:val="007C073E"/>
    <w:rsid w:val="007C1123"/>
    <w:rsid w:val="007F7B0E"/>
    <w:rsid w:val="00805A0F"/>
    <w:rsid w:val="0081637F"/>
    <w:rsid w:val="0081779F"/>
    <w:rsid w:val="00822789"/>
    <w:rsid w:val="0083262D"/>
    <w:rsid w:val="0084369D"/>
    <w:rsid w:val="00844327"/>
    <w:rsid w:val="008455FB"/>
    <w:rsid w:val="008550F6"/>
    <w:rsid w:val="0085529F"/>
    <w:rsid w:val="00860C4F"/>
    <w:rsid w:val="00871766"/>
    <w:rsid w:val="00873242"/>
    <w:rsid w:val="00884104"/>
    <w:rsid w:val="008A0C1D"/>
    <w:rsid w:val="008A482F"/>
    <w:rsid w:val="008C2EDB"/>
    <w:rsid w:val="008C3D7A"/>
    <w:rsid w:val="008C5A4D"/>
    <w:rsid w:val="008C6DBA"/>
    <w:rsid w:val="008C7171"/>
    <w:rsid w:val="008D49FA"/>
    <w:rsid w:val="008E0D43"/>
    <w:rsid w:val="008E2D3E"/>
    <w:rsid w:val="009017C9"/>
    <w:rsid w:val="00903799"/>
    <w:rsid w:val="00905C1A"/>
    <w:rsid w:val="009105C2"/>
    <w:rsid w:val="00910FB2"/>
    <w:rsid w:val="009111F2"/>
    <w:rsid w:val="009133A6"/>
    <w:rsid w:val="00925EA3"/>
    <w:rsid w:val="00927970"/>
    <w:rsid w:val="009305C5"/>
    <w:rsid w:val="00930699"/>
    <w:rsid w:val="0093328C"/>
    <w:rsid w:val="00934479"/>
    <w:rsid w:val="00940DBD"/>
    <w:rsid w:val="00942A19"/>
    <w:rsid w:val="009522E7"/>
    <w:rsid w:val="009523BA"/>
    <w:rsid w:val="00955316"/>
    <w:rsid w:val="00961635"/>
    <w:rsid w:val="009616A2"/>
    <w:rsid w:val="00963631"/>
    <w:rsid w:val="009640D6"/>
    <w:rsid w:val="00970147"/>
    <w:rsid w:val="009753CA"/>
    <w:rsid w:val="009868D8"/>
    <w:rsid w:val="00987E3F"/>
    <w:rsid w:val="009904D8"/>
    <w:rsid w:val="009A0961"/>
    <w:rsid w:val="009A2D4B"/>
    <w:rsid w:val="009A5DEF"/>
    <w:rsid w:val="009A6882"/>
    <w:rsid w:val="009B2D67"/>
    <w:rsid w:val="009C3C03"/>
    <w:rsid w:val="009C434B"/>
    <w:rsid w:val="009E00AE"/>
    <w:rsid w:val="009E0F34"/>
    <w:rsid w:val="009E25E8"/>
    <w:rsid w:val="009E473C"/>
    <w:rsid w:val="009E5BFC"/>
    <w:rsid w:val="009E5EB2"/>
    <w:rsid w:val="009F46E6"/>
    <w:rsid w:val="00A029FF"/>
    <w:rsid w:val="00A03A9F"/>
    <w:rsid w:val="00A12EF0"/>
    <w:rsid w:val="00A24FDA"/>
    <w:rsid w:val="00A51E9C"/>
    <w:rsid w:val="00A52726"/>
    <w:rsid w:val="00A60B7E"/>
    <w:rsid w:val="00A642D2"/>
    <w:rsid w:val="00A67DCF"/>
    <w:rsid w:val="00A72B11"/>
    <w:rsid w:val="00A74CFA"/>
    <w:rsid w:val="00A76ED9"/>
    <w:rsid w:val="00A92E1D"/>
    <w:rsid w:val="00A9343B"/>
    <w:rsid w:val="00A9397E"/>
    <w:rsid w:val="00AD0DF8"/>
    <w:rsid w:val="00AE0A05"/>
    <w:rsid w:val="00AE1C4E"/>
    <w:rsid w:val="00AF329C"/>
    <w:rsid w:val="00B01510"/>
    <w:rsid w:val="00B01996"/>
    <w:rsid w:val="00B03FDB"/>
    <w:rsid w:val="00B13292"/>
    <w:rsid w:val="00B21459"/>
    <w:rsid w:val="00B23293"/>
    <w:rsid w:val="00B3416F"/>
    <w:rsid w:val="00B46293"/>
    <w:rsid w:val="00B527E2"/>
    <w:rsid w:val="00B673A9"/>
    <w:rsid w:val="00B741F0"/>
    <w:rsid w:val="00B82A82"/>
    <w:rsid w:val="00BA5333"/>
    <w:rsid w:val="00BD3437"/>
    <w:rsid w:val="00BD4D9E"/>
    <w:rsid w:val="00BD56C8"/>
    <w:rsid w:val="00BD6F25"/>
    <w:rsid w:val="00BD7DC7"/>
    <w:rsid w:val="00BE69CA"/>
    <w:rsid w:val="00C12585"/>
    <w:rsid w:val="00C16196"/>
    <w:rsid w:val="00C25910"/>
    <w:rsid w:val="00C415FB"/>
    <w:rsid w:val="00C64AD6"/>
    <w:rsid w:val="00C76817"/>
    <w:rsid w:val="00C76E5D"/>
    <w:rsid w:val="00C81D03"/>
    <w:rsid w:val="00C93365"/>
    <w:rsid w:val="00C93436"/>
    <w:rsid w:val="00C94257"/>
    <w:rsid w:val="00CA1AFE"/>
    <w:rsid w:val="00CA47C6"/>
    <w:rsid w:val="00CB0249"/>
    <w:rsid w:val="00CB2700"/>
    <w:rsid w:val="00CB39E2"/>
    <w:rsid w:val="00CB61B6"/>
    <w:rsid w:val="00CB6233"/>
    <w:rsid w:val="00CC60CA"/>
    <w:rsid w:val="00CF53B9"/>
    <w:rsid w:val="00CF7A1D"/>
    <w:rsid w:val="00D15C4A"/>
    <w:rsid w:val="00D16192"/>
    <w:rsid w:val="00D222BB"/>
    <w:rsid w:val="00D55857"/>
    <w:rsid w:val="00D56BB6"/>
    <w:rsid w:val="00D63ADA"/>
    <w:rsid w:val="00D7752C"/>
    <w:rsid w:val="00D83701"/>
    <w:rsid w:val="00D92E32"/>
    <w:rsid w:val="00D97C3F"/>
    <w:rsid w:val="00DB4B64"/>
    <w:rsid w:val="00DE27CF"/>
    <w:rsid w:val="00DF5E4E"/>
    <w:rsid w:val="00E024EB"/>
    <w:rsid w:val="00E02993"/>
    <w:rsid w:val="00E27173"/>
    <w:rsid w:val="00E3572E"/>
    <w:rsid w:val="00E36E4B"/>
    <w:rsid w:val="00E57219"/>
    <w:rsid w:val="00E665F1"/>
    <w:rsid w:val="00E67AD9"/>
    <w:rsid w:val="00E67E2D"/>
    <w:rsid w:val="00E70E45"/>
    <w:rsid w:val="00E724B8"/>
    <w:rsid w:val="00E84992"/>
    <w:rsid w:val="00E84B36"/>
    <w:rsid w:val="00E86AC6"/>
    <w:rsid w:val="00E9729B"/>
    <w:rsid w:val="00EA5A02"/>
    <w:rsid w:val="00EB0F95"/>
    <w:rsid w:val="00EB345A"/>
    <w:rsid w:val="00EB759E"/>
    <w:rsid w:val="00EE030A"/>
    <w:rsid w:val="00EE0DCA"/>
    <w:rsid w:val="00EE2110"/>
    <w:rsid w:val="00EE721A"/>
    <w:rsid w:val="00EF0D97"/>
    <w:rsid w:val="00EF3C08"/>
    <w:rsid w:val="00F07BAD"/>
    <w:rsid w:val="00F1134F"/>
    <w:rsid w:val="00F1320D"/>
    <w:rsid w:val="00F2121F"/>
    <w:rsid w:val="00F332AE"/>
    <w:rsid w:val="00F40407"/>
    <w:rsid w:val="00F473B3"/>
    <w:rsid w:val="00F47B27"/>
    <w:rsid w:val="00F73E7D"/>
    <w:rsid w:val="00F749F4"/>
    <w:rsid w:val="00F80AEF"/>
    <w:rsid w:val="00F83DFB"/>
    <w:rsid w:val="00F86827"/>
    <w:rsid w:val="00F9472A"/>
    <w:rsid w:val="00F97CB8"/>
    <w:rsid w:val="00F97E1E"/>
    <w:rsid w:val="00FB7495"/>
    <w:rsid w:val="00FC737F"/>
    <w:rsid w:val="00FD4C98"/>
    <w:rsid w:val="00FE0B49"/>
    <w:rsid w:val="00FE1A86"/>
    <w:rsid w:val="00FE2ECF"/>
    <w:rsid w:val="00FE31EC"/>
    <w:rsid w:val="00FE34F5"/>
    <w:rsid w:val="00FE3F51"/>
    <w:rsid w:val="00FF20E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ADDFE6"/>
  <w15:docId w15:val="{1A63BB74-EB3F-40B8-8C07-E6EC99D8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Calibri" w:hAnsi="Open Sans Light" w:cs="Open Sans Light"/>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28C"/>
    <w:pPr>
      <w:spacing w:after="160" w:line="259" w:lineRule="auto"/>
    </w:pPr>
    <w:rPr>
      <w:rFonts w:ascii="Calibri Light" w:hAnsi="Calibri Light"/>
      <w:szCs w:val="22"/>
      <w:lang w:val="en-US"/>
    </w:rPr>
  </w:style>
  <w:style w:type="paragraph" w:styleId="Heading1">
    <w:name w:val="heading 1"/>
    <w:basedOn w:val="Normal"/>
    <w:next w:val="Normal"/>
    <w:link w:val="Heading1Char"/>
    <w:uiPriority w:val="99"/>
    <w:qFormat/>
    <w:rsid w:val="0093328C"/>
    <w:pPr>
      <w:keepNext/>
      <w:keepLines/>
      <w:spacing w:before="240" w:after="0"/>
      <w:outlineLvl w:val="0"/>
    </w:pPr>
    <w:rPr>
      <w:rFonts w:eastAsia="Times New Roman" w:cs="Times New Roman"/>
      <w:color w:val="59595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328C"/>
    <w:rPr>
      <w:rFonts w:ascii="Calibri Light" w:hAnsi="Calibri Light" w:cs="Times New Roman"/>
      <w:color w:val="595959"/>
      <w:sz w:val="32"/>
    </w:rPr>
  </w:style>
  <w:style w:type="paragraph" w:styleId="Header">
    <w:name w:val="header"/>
    <w:basedOn w:val="Normal"/>
    <w:link w:val="HeaderChar"/>
    <w:uiPriority w:val="99"/>
    <w:rsid w:val="00413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19D"/>
    <w:rPr>
      <w:rFonts w:cs="Times New Roman"/>
    </w:rPr>
  </w:style>
  <w:style w:type="paragraph" w:styleId="Footer">
    <w:name w:val="footer"/>
    <w:basedOn w:val="Normal"/>
    <w:link w:val="FooterChar"/>
    <w:uiPriority w:val="99"/>
    <w:semiHidden/>
    <w:rsid w:val="00413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19D"/>
    <w:rPr>
      <w:rFonts w:cs="Times New Roman"/>
    </w:rPr>
  </w:style>
  <w:style w:type="paragraph" w:styleId="NormalWeb">
    <w:name w:val="Normal (Web)"/>
    <w:basedOn w:val="Normal"/>
    <w:uiPriority w:val="99"/>
    <w:semiHidden/>
    <w:rsid w:val="006E0F16"/>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styleId="BalloonText">
    <w:name w:val="Balloon Text"/>
    <w:basedOn w:val="Normal"/>
    <w:link w:val="BalloonTextChar"/>
    <w:uiPriority w:val="99"/>
    <w:semiHidden/>
    <w:rsid w:val="00FC7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37F"/>
    <w:rPr>
      <w:rFonts w:ascii="Segoe UI" w:hAnsi="Segoe UI" w:cs="Segoe UI"/>
      <w:sz w:val="18"/>
    </w:rPr>
  </w:style>
  <w:style w:type="character" w:styleId="Hyperlink">
    <w:name w:val="Hyperlink"/>
    <w:basedOn w:val="DefaultParagraphFont"/>
    <w:uiPriority w:val="99"/>
    <w:rsid w:val="00EF0D97"/>
    <w:rPr>
      <w:rFonts w:cs="Times New Roman"/>
      <w:color w:val="0000FF"/>
      <w:u w:val="single"/>
    </w:rPr>
  </w:style>
  <w:style w:type="paragraph" w:styleId="ListParagraph">
    <w:name w:val="List Paragraph"/>
    <w:basedOn w:val="Normal"/>
    <w:uiPriority w:val="34"/>
    <w:qFormat/>
    <w:rsid w:val="0052626C"/>
    <w:pPr>
      <w:spacing w:after="200" w:line="240" w:lineRule="auto"/>
      <w:ind w:left="720"/>
      <w:contextualSpacing/>
    </w:pPr>
    <w:rPr>
      <w:rFonts w:ascii="Cambria" w:eastAsia="Cambria" w:hAnsi="Cambria" w:cs="Times New Roman"/>
      <w:sz w:val="24"/>
      <w:szCs w:val="24"/>
    </w:rPr>
  </w:style>
  <w:style w:type="character" w:customStyle="1" w:styleId="BODYCOPY-Opensanscond9pt12ptWhiteBackground">
    <w:name w:val="BODY COPY - Opensans cond 9 pt / 12 pt (White Background)"/>
    <w:basedOn w:val="DefaultParagraphFont"/>
    <w:uiPriority w:val="99"/>
    <w:rsid w:val="00884104"/>
    <w:rPr>
      <w:rFonts w:ascii="Open Sans Condensed Light" w:hAnsi="Open Sans Condensed Light" w:cs="Open Sans Condensed Light"/>
      <w:color w:val="000000"/>
      <w:sz w:val="18"/>
      <w:szCs w:val="18"/>
      <w:lang w:val="en-GB"/>
    </w:rPr>
  </w:style>
  <w:style w:type="character" w:styleId="UnresolvedMention">
    <w:name w:val="Unresolved Mention"/>
    <w:basedOn w:val="DefaultParagraphFont"/>
    <w:uiPriority w:val="99"/>
    <w:semiHidden/>
    <w:unhideWhenUsed/>
    <w:rsid w:val="00927970"/>
    <w:rPr>
      <w:color w:val="605E5C"/>
      <w:shd w:val="clear" w:color="auto" w:fill="E1DFDD"/>
    </w:rPr>
  </w:style>
  <w:style w:type="character" w:styleId="CommentReference">
    <w:name w:val="annotation reference"/>
    <w:basedOn w:val="DefaultParagraphFont"/>
    <w:uiPriority w:val="99"/>
    <w:semiHidden/>
    <w:unhideWhenUsed/>
    <w:rsid w:val="00490867"/>
    <w:rPr>
      <w:sz w:val="16"/>
      <w:szCs w:val="16"/>
    </w:rPr>
  </w:style>
  <w:style w:type="paragraph" w:styleId="CommentText">
    <w:name w:val="annotation text"/>
    <w:basedOn w:val="Normal"/>
    <w:link w:val="CommentTextChar"/>
    <w:uiPriority w:val="99"/>
    <w:semiHidden/>
    <w:unhideWhenUsed/>
    <w:rsid w:val="00490867"/>
    <w:pPr>
      <w:spacing w:line="240" w:lineRule="auto"/>
    </w:pPr>
    <w:rPr>
      <w:szCs w:val="20"/>
    </w:rPr>
  </w:style>
  <w:style w:type="character" w:customStyle="1" w:styleId="CommentTextChar">
    <w:name w:val="Comment Text Char"/>
    <w:basedOn w:val="DefaultParagraphFont"/>
    <w:link w:val="CommentText"/>
    <w:uiPriority w:val="99"/>
    <w:semiHidden/>
    <w:rsid w:val="00490867"/>
    <w:rPr>
      <w:rFonts w:ascii="Calibri Light" w:hAnsi="Calibri Light"/>
      <w:lang w:val="en-US"/>
    </w:rPr>
  </w:style>
  <w:style w:type="paragraph" w:styleId="CommentSubject">
    <w:name w:val="annotation subject"/>
    <w:basedOn w:val="CommentText"/>
    <w:next w:val="CommentText"/>
    <w:link w:val="CommentSubjectChar"/>
    <w:uiPriority w:val="99"/>
    <w:semiHidden/>
    <w:unhideWhenUsed/>
    <w:rsid w:val="00490867"/>
    <w:rPr>
      <w:b/>
      <w:bCs/>
    </w:rPr>
  </w:style>
  <w:style w:type="character" w:customStyle="1" w:styleId="CommentSubjectChar">
    <w:name w:val="Comment Subject Char"/>
    <w:basedOn w:val="CommentTextChar"/>
    <w:link w:val="CommentSubject"/>
    <w:uiPriority w:val="99"/>
    <w:semiHidden/>
    <w:rsid w:val="00490867"/>
    <w:rPr>
      <w:rFonts w:ascii="Calibri Light" w:hAnsi="Calibri Light"/>
      <w:b/>
      <w:bCs/>
      <w:lang w:val="en-US"/>
    </w:rPr>
  </w:style>
  <w:style w:type="paragraph" w:customStyle="1" w:styleId="1bodycopy">
    <w:name w:val="1 body copy"/>
    <w:basedOn w:val="Normal"/>
    <w:uiPriority w:val="99"/>
    <w:rsid w:val="009C434B"/>
    <w:pPr>
      <w:suppressAutoHyphens/>
      <w:autoSpaceDE w:val="0"/>
      <w:autoSpaceDN w:val="0"/>
      <w:adjustRightInd w:val="0"/>
      <w:spacing w:after="113" w:line="250" w:lineRule="atLeast"/>
      <w:jc w:val="both"/>
      <w:textAlignment w:val="center"/>
    </w:pPr>
    <w:rPr>
      <w:rFonts w:ascii="Open Sans Light" w:eastAsiaTheme="minorHAnsi" w:hAnsi="Open Sans Light"/>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omers.limited" TargetMode="External"/><Relationship Id="rId3" Type="http://schemas.openxmlformats.org/officeDocument/2006/relationships/settings" Target="settings.xml"/><Relationship Id="rId7" Type="http://schemas.openxmlformats.org/officeDocument/2006/relationships/hyperlink" Target="mailto:ay@icm.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1021</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Julie Laffy</dc:creator>
  <cp:keywords/>
  <cp:lastModifiedBy>Julie Laffy</cp:lastModifiedBy>
  <cp:revision>2</cp:revision>
  <cp:lastPrinted>2019-12-16T14:26:00Z</cp:lastPrinted>
  <dcterms:created xsi:type="dcterms:W3CDTF">2022-02-14T02:36:00Z</dcterms:created>
  <dcterms:modified xsi:type="dcterms:W3CDTF">2022-02-14T02:36:00Z</dcterms:modified>
</cp:coreProperties>
</file>